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3B46B" w14:textId="020D0EF9" w:rsidR="00B10D84" w:rsidRDefault="00FB2E84" w:rsidP="00B10D84">
      <w:pPr>
        <w:pStyle w:val="MSLCArialBlackHeader12Green"/>
      </w:pPr>
      <w:r>
        <w:t>Managed Care</w:t>
      </w:r>
      <w:r w:rsidR="004E6BCB">
        <w:t xml:space="preserve"> Contracting to Drive Health Information Technology Adoption and Improve Population Health Outcomes</w:t>
      </w:r>
    </w:p>
    <w:p w14:paraId="5C2D5E3C" w14:textId="77777777" w:rsidR="00B10D84" w:rsidRDefault="00B10D84" w:rsidP="00B10D84">
      <w:pPr>
        <w:pStyle w:val="MSLCArialBlackHeader12Green"/>
      </w:pPr>
    </w:p>
    <w:p w14:paraId="29107D30" w14:textId="77777777" w:rsidR="004E6BCB" w:rsidRPr="00B10D84" w:rsidRDefault="004E6BCB" w:rsidP="00B10D84">
      <w:pPr>
        <w:pStyle w:val="MSLCArialBlackHeader12Green"/>
      </w:pPr>
    </w:p>
    <w:p w14:paraId="6BAD43FE" w14:textId="4BBABCC8" w:rsidR="005B6C54" w:rsidRDefault="005B6C54" w:rsidP="005B6C54">
      <w:pPr>
        <w:ind w:firstLine="720"/>
      </w:pPr>
      <w:r>
        <w:t xml:space="preserve">Over the last decade there has been a proliferation of the use of managed care in the Medicaid environment, driven primarily by the need for states to have more predictable costs as well as a need to improve health outcomes through more effective case management and appropriate utilization.  At the same time managed </w:t>
      </w:r>
      <w:r w:rsidR="00AE1FC2">
        <w:t xml:space="preserve">care </w:t>
      </w:r>
      <w:r>
        <w:t>was expanding to be the delivery system of choice for most states, technol</w:t>
      </w:r>
      <w:bookmarkStart w:id="0" w:name="_GoBack"/>
      <w:bookmarkEnd w:id="0"/>
      <w:r>
        <w:t xml:space="preserve">ogical advances, health IT, data, and advanced analytics have opened up new possibilities for better coordination of care, medical decision-making, quality improvement, care management, program management, and in some cases, reductions in cost. These technological advances have been facilitated through enhanced funding opportunities made available through HITECH, </w:t>
      </w:r>
      <w:r w:rsidR="00AE1FC2">
        <w:t>Medicaid Information Technology Architecture (</w:t>
      </w:r>
      <w:r>
        <w:t>MITA</w:t>
      </w:r>
      <w:r w:rsidR="00AE1FC2">
        <w:t>)</w:t>
      </w:r>
      <w:r>
        <w:t xml:space="preserve">, and even the </w:t>
      </w:r>
      <w:r w:rsidR="00AE1FC2">
        <w:t>Affordable Care Act (</w:t>
      </w:r>
      <w:r>
        <w:t>ACA</w:t>
      </w:r>
      <w:r w:rsidR="00AE1FC2">
        <w:t>)</w:t>
      </w:r>
      <w:r>
        <w:t xml:space="preserve">. </w:t>
      </w:r>
    </w:p>
    <w:p w14:paraId="6F881A19" w14:textId="009AF77B" w:rsidR="000E6003" w:rsidRDefault="005B6C54" w:rsidP="005B6C54">
      <w:pPr>
        <w:ind w:firstLine="720"/>
      </w:pPr>
      <w:r>
        <w:t>As states look to improve quality and implement value based purchasing</w:t>
      </w:r>
      <w:r w:rsidR="00E90499">
        <w:t xml:space="preserve"> (VBP)</w:t>
      </w:r>
      <w:r>
        <w:t>, alternative payment models</w:t>
      </w:r>
      <w:r w:rsidR="00E90499">
        <w:t xml:space="preserve"> (APMs)</w:t>
      </w:r>
      <w:r>
        <w:t>, and other quality improvement strategies, and with the heavy reliance on managed care entities</w:t>
      </w:r>
      <w:r w:rsidR="004F3688" w:rsidRPr="000544D8">
        <w:rPr>
          <w:rStyle w:val="FootnoteReference"/>
          <w:rFonts w:asciiTheme="minorHAnsi" w:hAnsiTheme="minorHAnsi" w:cstheme="minorHAnsi"/>
        </w:rPr>
        <w:footnoteReference w:id="1"/>
      </w:r>
      <w:r w:rsidR="00E90499">
        <w:t xml:space="preserve"> (MCEs)</w:t>
      </w:r>
      <w:r>
        <w:t xml:space="preserve"> as partners, careful consideration should be given on the requirements needed or imposed on MCEs, such that states can work towards accomplishing their overall health care objectives.  </w:t>
      </w:r>
    </w:p>
    <w:p w14:paraId="2DCA2233" w14:textId="1862BD23" w:rsidR="000E6003" w:rsidRDefault="001D2FB9" w:rsidP="000E6003">
      <w:pPr>
        <w:ind w:firstLine="720"/>
      </w:pPr>
      <w:r>
        <w:t>MCE</w:t>
      </w:r>
      <w:r w:rsidR="000E6003" w:rsidRPr="00AC7800">
        <w:t xml:space="preserve"> contracting is evolving to require improvements in health outcomes, often linked to value based contracting strategies.  A key component to improving health outcomes includes having timely, accurate, and complete information available at the point of care.  This information includes traditional health information but increasingly includes information related to social determinants of health which stand to greatly impact overall health.</w:t>
      </w:r>
      <w:r w:rsidR="000E6003">
        <w:t xml:space="preserve"> </w:t>
      </w:r>
      <w:r w:rsidR="008E27A9">
        <w:t xml:space="preserve"> </w:t>
      </w:r>
    </w:p>
    <w:p w14:paraId="418D3F80" w14:textId="49DB9BB2" w:rsidR="000E6003" w:rsidRDefault="005B6C54" w:rsidP="000E6003">
      <w:pPr>
        <w:ind w:firstLine="720"/>
      </w:pPr>
      <w:r>
        <w:t xml:space="preserve">MCEs, even without direct intervention from states, may </w:t>
      </w:r>
      <w:r w:rsidR="000E6003">
        <w:t xml:space="preserve">also </w:t>
      </w:r>
      <w:r>
        <w:t xml:space="preserve">find it </w:t>
      </w:r>
      <w:r w:rsidR="003D3D7C">
        <w:t>beneficial to leverage health information technology (health IT)</w:t>
      </w:r>
      <w:r>
        <w:t xml:space="preserve"> and/or partner with </w:t>
      </w:r>
      <w:r w:rsidR="003D3D7C">
        <w:t>health information exchanges (</w:t>
      </w:r>
      <w:r>
        <w:t>HIEs</w:t>
      </w:r>
      <w:r w:rsidR="003D3D7C">
        <w:t>)</w:t>
      </w:r>
      <w:r>
        <w:t xml:space="preserve"> so they can better satisfy contract requirements, improve the care of their populations, reduce cost, and increase market share.</w:t>
      </w:r>
      <w:r w:rsidR="000E6003">
        <w:t xml:space="preserve">  </w:t>
      </w:r>
      <w:r>
        <w:t>While MCE effectiveness can be improved through the use of health IT, MCEs can also drive the availability and adoption of health IT by providers.  This can be done through provider contracting and even payment incent</w:t>
      </w:r>
      <w:r w:rsidR="00A67432">
        <w:t xml:space="preserve">ive strategies. Ultimately, </w:t>
      </w:r>
      <w:r>
        <w:t>MCE</w:t>
      </w:r>
      <w:r w:rsidR="00A67432">
        <w:t>s</w:t>
      </w:r>
      <w:r>
        <w:t xml:space="preserve"> and provi</w:t>
      </w:r>
      <w:r w:rsidR="000E6003">
        <w:t>ders</w:t>
      </w:r>
      <w:r w:rsidR="00A67432">
        <w:t xml:space="preserve"> alike</w:t>
      </w:r>
      <w:r w:rsidR="000E6003">
        <w:t xml:space="preserve"> will be more successful</w:t>
      </w:r>
      <w:r w:rsidR="00A67432">
        <w:t>,</w:t>
      </w:r>
      <w:r w:rsidR="000E6003">
        <w:t xml:space="preserve"> and </w:t>
      </w:r>
      <w:r>
        <w:t xml:space="preserve">patients will benefit from the increased availability of health information at the point of care.  </w:t>
      </w:r>
    </w:p>
    <w:p w14:paraId="7070F0D9" w14:textId="25F9981A" w:rsidR="005B6C54" w:rsidRDefault="008E27A9" w:rsidP="000E6003">
      <w:pPr>
        <w:ind w:firstLine="720"/>
      </w:pPr>
      <w:r>
        <w:lastRenderedPageBreak/>
        <w:t>So, how can we leverage managed care</w:t>
      </w:r>
      <w:r w:rsidR="005B6C54">
        <w:t xml:space="preserve"> contracting strategies to drive this alignment and improvement? </w:t>
      </w:r>
      <w:r w:rsidR="000E6003">
        <w:t xml:space="preserve">  This paper </w:t>
      </w:r>
      <w:r w:rsidR="005B6C54">
        <w:t xml:space="preserve">focuses on strategies </w:t>
      </w:r>
      <w:r w:rsidR="00C52985">
        <w:t>for</w:t>
      </w:r>
      <w:r w:rsidR="005B6C54">
        <w:t xml:space="preserve"> the managed care environment that may require or leverage the meaningful use of health IT</w:t>
      </w:r>
      <w:r w:rsidR="00C52985">
        <w:t>, VBP strategies,</w:t>
      </w:r>
      <w:r w:rsidR="005B6C54">
        <w:t xml:space="preserve"> and social determinants of health data to drive population health outcomes.</w:t>
      </w:r>
      <w:r>
        <w:t xml:space="preserve"> </w:t>
      </w:r>
    </w:p>
    <w:p w14:paraId="7BC66D25" w14:textId="77777777" w:rsidR="00294532" w:rsidRPr="002D644E" w:rsidRDefault="00294532" w:rsidP="00BF05B1">
      <w:pPr>
        <w:pStyle w:val="BodyCambria10Black"/>
        <w:rPr>
          <w:rFonts w:asciiTheme="minorHAnsi" w:hAnsiTheme="minorHAnsi" w:cstheme="minorHAnsi"/>
          <w:b/>
          <w:u w:val="single"/>
        </w:rPr>
      </w:pPr>
      <w:r w:rsidRPr="002D644E">
        <w:rPr>
          <w:rFonts w:asciiTheme="minorHAnsi" w:hAnsiTheme="minorHAnsi" w:cstheme="minorHAnsi"/>
          <w:b/>
          <w:u w:val="single"/>
        </w:rPr>
        <w:t>Background</w:t>
      </w:r>
      <w:r w:rsidR="00FF551A" w:rsidRPr="002D644E">
        <w:rPr>
          <w:rFonts w:asciiTheme="minorHAnsi" w:hAnsiTheme="minorHAnsi" w:cstheme="minorHAnsi"/>
          <w:b/>
          <w:u w:val="single"/>
        </w:rPr>
        <w:t xml:space="preserve"> on VBP Programs</w:t>
      </w:r>
    </w:p>
    <w:p w14:paraId="06562420" w14:textId="346DB8D4" w:rsidR="00836B86" w:rsidRPr="000544D8" w:rsidRDefault="00836B86" w:rsidP="009312FC">
      <w:pPr>
        <w:pStyle w:val="BodyCambria10Black"/>
        <w:ind w:firstLine="720"/>
        <w:rPr>
          <w:rFonts w:asciiTheme="minorHAnsi" w:hAnsiTheme="minorHAnsi" w:cstheme="minorHAnsi"/>
          <w:sz w:val="22"/>
        </w:rPr>
      </w:pPr>
      <w:r w:rsidRPr="000544D8">
        <w:rPr>
          <w:rFonts w:asciiTheme="minorHAnsi" w:hAnsiTheme="minorHAnsi" w:cstheme="minorHAnsi"/>
          <w:sz w:val="22"/>
        </w:rPr>
        <w:t>The traditional Medicaid health system is based on volume driven reimbursement where providers have a financial incentive to provide more services</w:t>
      </w:r>
      <w:r w:rsidR="00875880">
        <w:rPr>
          <w:rFonts w:asciiTheme="minorHAnsi" w:hAnsiTheme="minorHAnsi" w:cstheme="minorHAnsi"/>
          <w:sz w:val="22"/>
        </w:rPr>
        <w:t>.  This environment</w:t>
      </w:r>
      <w:r w:rsidRPr="000544D8">
        <w:rPr>
          <w:rFonts w:asciiTheme="minorHAnsi" w:hAnsiTheme="minorHAnsi" w:cstheme="minorHAnsi"/>
          <w:sz w:val="22"/>
        </w:rPr>
        <w:t xml:space="preserve"> contributes to increased Medicaid costs, but not necessarily improved beneficiary health outcomes. In recent years, the Centers for Medicare &amp; Medicaid Services (CMS) and </w:t>
      </w:r>
      <w:r w:rsidR="00875880">
        <w:rPr>
          <w:rFonts w:asciiTheme="minorHAnsi" w:hAnsiTheme="minorHAnsi" w:cstheme="minorHAnsi"/>
          <w:sz w:val="22"/>
        </w:rPr>
        <w:t>numerous s</w:t>
      </w:r>
      <w:r w:rsidRPr="000544D8">
        <w:rPr>
          <w:rFonts w:asciiTheme="minorHAnsi" w:hAnsiTheme="minorHAnsi" w:cstheme="minorHAnsi"/>
          <w:sz w:val="22"/>
        </w:rPr>
        <w:t xml:space="preserve">tate Medicaid programs have advanced </w:t>
      </w:r>
      <w:r w:rsidR="00BF22DA" w:rsidRPr="000544D8">
        <w:rPr>
          <w:rFonts w:asciiTheme="minorHAnsi" w:hAnsiTheme="minorHAnsi" w:cstheme="minorHAnsi"/>
          <w:sz w:val="22"/>
        </w:rPr>
        <w:t xml:space="preserve">reimbursement </w:t>
      </w:r>
      <w:r w:rsidRPr="000544D8">
        <w:rPr>
          <w:rFonts w:asciiTheme="minorHAnsi" w:hAnsiTheme="minorHAnsi" w:cstheme="minorHAnsi"/>
          <w:sz w:val="22"/>
        </w:rPr>
        <w:t xml:space="preserve">models that emphasize value over volume by </w:t>
      </w:r>
      <w:r w:rsidR="00875880">
        <w:rPr>
          <w:rFonts w:asciiTheme="minorHAnsi" w:hAnsiTheme="minorHAnsi" w:cstheme="minorHAnsi"/>
          <w:sz w:val="22"/>
        </w:rPr>
        <w:t>introducing accountability that links</w:t>
      </w:r>
      <w:r w:rsidRPr="000544D8">
        <w:rPr>
          <w:rFonts w:asciiTheme="minorHAnsi" w:hAnsiTheme="minorHAnsi" w:cstheme="minorHAnsi"/>
          <w:sz w:val="22"/>
        </w:rPr>
        <w:t xml:space="preserve"> payment to improved health care quality</w:t>
      </w:r>
      <w:r w:rsidR="00C96F72">
        <w:rPr>
          <w:rFonts w:asciiTheme="minorHAnsi" w:hAnsiTheme="minorHAnsi" w:cstheme="minorHAnsi"/>
          <w:sz w:val="22"/>
        </w:rPr>
        <w:t xml:space="preserve"> or outcomes</w:t>
      </w:r>
      <w:r w:rsidRPr="000544D8">
        <w:rPr>
          <w:rFonts w:asciiTheme="minorHAnsi" w:hAnsiTheme="minorHAnsi" w:cstheme="minorHAnsi"/>
          <w:sz w:val="22"/>
        </w:rPr>
        <w:t xml:space="preserve">. In fact, CMS’ goal is to </w:t>
      </w:r>
      <w:r w:rsidR="00ED2207">
        <w:rPr>
          <w:rFonts w:asciiTheme="minorHAnsi" w:hAnsiTheme="minorHAnsi" w:cstheme="minorHAnsi"/>
          <w:sz w:val="22"/>
        </w:rPr>
        <w:t>move Medicare, Medicaid, and even</w:t>
      </w:r>
      <w:r w:rsidRPr="000544D8">
        <w:rPr>
          <w:rFonts w:asciiTheme="minorHAnsi" w:hAnsiTheme="minorHAnsi" w:cstheme="minorHAnsi"/>
          <w:sz w:val="22"/>
        </w:rPr>
        <w:t xml:space="preserve"> commercial markets to a system where payment is predominantly tied to quality and value. </w:t>
      </w:r>
    </w:p>
    <w:p w14:paraId="3AC145AD" w14:textId="36A8E7C3" w:rsidR="00672337" w:rsidRPr="000544D8" w:rsidRDefault="005074DF" w:rsidP="009312FC">
      <w:pPr>
        <w:pStyle w:val="BodyCambria10Black"/>
        <w:ind w:firstLine="720"/>
        <w:rPr>
          <w:rFonts w:asciiTheme="minorHAnsi" w:hAnsiTheme="minorHAnsi" w:cstheme="minorHAnsi"/>
          <w:sz w:val="22"/>
        </w:rPr>
      </w:pPr>
      <w:r w:rsidRPr="000544D8">
        <w:rPr>
          <w:rFonts w:asciiTheme="minorHAnsi" w:hAnsiTheme="minorHAnsi" w:cstheme="minorHAnsi"/>
          <w:sz w:val="22"/>
        </w:rPr>
        <w:t>The National Association of Medicaid Directors (NAMD) identifies the overall goal of the VBP model as being to improve the value of the health delivery system, meaning to improve the quality of the care provided while at the same time controlling costs.</w:t>
      </w:r>
      <w:r w:rsidRPr="000544D8">
        <w:rPr>
          <w:rStyle w:val="EndnoteReference"/>
          <w:rFonts w:asciiTheme="minorHAnsi" w:hAnsiTheme="minorHAnsi" w:cstheme="minorHAnsi"/>
          <w:sz w:val="22"/>
        </w:rPr>
        <w:endnoteReference w:id="1"/>
      </w:r>
      <w:r w:rsidRPr="000544D8">
        <w:rPr>
          <w:rFonts w:asciiTheme="minorHAnsi" w:hAnsiTheme="minorHAnsi" w:cstheme="minorHAnsi"/>
          <w:sz w:val="22"/>
        </w:rPr>
        <w:t xml:space="preserve">  </w:t>
      </w:r>
      <w:r w:rsidR="00836B86" w:rsidRPr="000544D8">
        <w:rPr>
          <w:rFonts w:asciiTheme="minorHAnsi" w:hAnsiTheme="minorHAnsi" w:cstheme="minorHAnsi"/>
          <w:sz w:val="22"/>
        </w:rPr>
        <w:t>NAMD broadly defines “value based payments” as “any activity a state Medicaid program undertakes to hold a provider or contracted managed care organization (MCO) accountable for the costs and quality of care they provide to Medicaid beneficiaries.”</w:t>
      </w:r>
      <w:r w:rsidR="00836B86" w:rsidRPr="000544D8">
        <w:rPr>
          <w:rStyle w:val="EndnoteReference"/>
          <w:rFonts w:asciiTheme="minorHAnsi" w:hAnsiTheme="minorHAnsi" w:cstheme="minorHAnsi"/>
          <w:sz w:val="22"/>
        </w:rPr>
        <w:endnoteReference w:id="2"/>
      </w:r>
      <w:r w:rsidR="00E25B8F" w:rsidRPr="000544D8">
        <w:rPr>
          <w:rFonts w:asciiTheme="minorHAnsi" w:hAnsiTheme="minorHAnsi" w:cstheme="minorHAnsi"/>
          <w:sz w:val="22"/>
        </w:rPr>
        <w:t xml:space="preserve"> </w:t>
      </w:r>
    </w:p>
    <w:p w14:paraId="31B48085" w14:textId="58DD0107" w:rsidR="00836B86" w:rsidRDefault="00E25B8F" w:rsidP="009312FC">
      <w:pPr>
        <w:pStyle w:val="BodyCambria10Black"/>
        <w:ind w:firstLine="720"/>
        <w:rPr>
          <w:rFonts w:asciiTheme="minorHAnsi" w:hAnsiTheme="minorHAnsi" w:cstheme="minorHAnsi"/>
          <w:sz w:val="22"/>
        </w:rPr>
      </w:pPr>
      <w:r w:rsidRPr="000544D8">
        <w:rPr>
          <w:rFonts w:asciiTheme="minorHAnsi" w:hAnsiTheme="minorHAnsi" w:cstheme="minorHAnsi"/>
          <w:sz w:val="22"/>
        </w:rPr>
        <w:t xml:space="preserve">States have implemented </w:t>
      </w:r>
      <w:r w:rsidR="00672337" w:rsidRPr="000544D8">
        <w:rPr>
          <w:rFonts w:asciiTheme="minorHAnsi" w:hAnsiTheme="minorHAnsi" w:cstheme="minorHAnsi"/>
          <w:sz w:val="22"/>
        </w:rPr>
        <w:t xml:space="preserve">VBP </w:t>
      </w:r>
      <w:r w:rsidRPr="000544D8">
        <w:rPr>
          <w:rFonts w:asciiTheme="minorHAnsi" w:hAnsiTheme="minorHAnsi" w:cstheme="minorHAnsi"/>
          <w:sz w:val="22"/>
        </w:rPr>
        <w:t xml:space="preserve">models either directly with providers or </w:t>
      </w:r>
      <w:r w:rsidR="005074DF" w:rsidRPr="000544D8">
        <w:rPr>
          <w:rFonts w:asciiTheme="minorHAnsi" w:hAnsiTheme="minorHAnsi" w:cstheme="minorHAnsi"/>
          <w:sz w:val="22"/>
        </w:rPr>
        <w:t>by</w:t>
      </w:r>
      <w:r w:rsidR="00C84367">
        <w:rPr>
          <w:rFonts w:asciiTheme="minorHAnsi" w:hAnsiTheme="minorHAnsi" w:cstheme="minorHAnsi"/>
          <w:sz w:val="22"/>
        </w:rPr>
        <w:t xml:space="preserve"> requiring MCE</w:t>
      </w:r>
      <w:r w:rsidR="00672337" w:rsidRPr="000544D8">
        <w:rPr>
          <w:rFonts w:asciiTheme="minorHAnsi" w:hAnsiTheme="minorHAnsi" w:cstheme="minorHAnsi"/>
          <w:sz w:val="22"/>
        </w:rPr>
        <w:t>s to implement</w:t>
      </w:r>
      <w:r w:rsidRPr="000544D8">
        <w:rPr>
          <w:rFonts w:asciiTheme="minorHAnsi" w:hAnsiTheme="minorHAnsi" w:cstheme="minorHAnsi"/>
          <w:sz w:val="22"/>
        </w:rPr>
        <w:t xml:space="preserve"> </w:t>
      </w:r>
      <w:r w:rsidR="00DA525D" w:rsidRPr="000544D8">
        <w:rPr>
          <w:rFonts w:asciiTheme="minorHAnsi" w:hAnsiTheme="minorHAnsi" w:cstheme="minorHAnsi"/>
          <w:sz w:val="22"/>
        </w:rPr>
        <w:t xml:space="preserve">them </w:t>
      </w:r>
      <w:r w:rsidR="00672337" w:rsidRPr="000544D8">
        <w:rPr>
          <w:rFonts w:asciiTheme="minorHAnsi" w:hAnsiTheme="minorHAnsi" w:cstheme="minorHAnsi"/>
          <w:sz w:val="22"/>
        </w:rPr>
        <w:t>within</w:t>
      </w:r>
      <w:r w:rsidRPr="000544D8">
        <w:rPr>
          <w:rFonts w:asciiTheme="minorHAnsi" w:hAnsiTheme="minorHAnsi" w:cstheme="minorHAnsi"/>
          <w:sz w:val="22"/>
        </w:rPr>
        <w:t xml:space="preserve"> their provider networks </w:t>
      </w:r>
      <w:r w:rsidR="00672337" w:rsidRPr="000544D8">
        <w:rPr>
          <w:rFonts w:asciiTheme="minorHAnsi" w:hAnsiTheme="minorHAnsi" w:cstheme="minorHAnsi"/>
          <w:sz w:val="22"/>
        </w:rPr>
        <w:t xml:space="preserve">based on contractual </w:t>
      </w:r>
      <w:r w:rsidRPr="000544D8">
        <w:rPr>
          <w:rFonts w:asciiTheme="minorHAnsi" w:hAnsiTheme="minorHAnsi" w:cstheme="minorHAnsi"/>
          <w:sz w:val="22"/>
        </w:rPr>
        <w:t xml:space="preserve">quality and cost requirements.  </w:t>
      </w:r>
      <w:r w:rsidR="00672337" w:rsidRPr="000544D8">
        <w:rPr>
          <w:rFonts w:asciiTheme="minorHAnsi" w:hAnsiTheme="minorHAnsi" w:cstheme="minorHAnsi"/>
          <w:sz w:val="22"/>
        </w:rPr>
        <w:t xml:space="preserve"> States use</w:t>
      </w:r>
      <w:r w:rsidR="00836B86" w:rsidRPr="000544D8">
        <w:rPr>
          <w:rFonts w:asciiTheme="minorHAnsi" w:hAnsiTheme="minorHAnsi" w:cstheme="minorHAnsi"/>
          <w:sz w:val="22"/>
        </w:rPr>
        <w:t xml:space="preserve"> a variety of </w:t>
      </w:r>
      <w:r w:rsidR="00C60D1F" w:rsidRPr="000544D8">
        <w:rPr>
          <w:rFonts w:asciiTheme="minorHAnsi" w:hAnsiTheme="minorHAnsi" w:cstheme="minorHAnsi"/>
          <w:sz w:val="22"/>
        </w:rPr>
        <w:t>approaches that</w:t>
      </w:r>
      <w:r w:rsidR="00C800E0" w:rsidRPr="000544D8">
        <w:rPr>
          <w:rFonts w:asciiTheme="minorHAnsi" w:hAnsiTheme="minorHAnsi" w:cstheme="minorHAnsi"/>
          <w:sz w:val="22"/>
        </w:rPr>
        <w:t xml:space="preserve"> range significantly in terms of the </w:t>
      </w:r>
      <w:r w:rsidR="00836B86" w:rsidRPr="000544D8">
        <w:rPr>
          <w:rFonts w:asciiTheme="minorHAnsi" w:hAnsiTheme="minorHAnsi" w:cstheme="minorHAnsi"/>
          <w:sz w:val="22"/>
        </w:rPr>
        <w:t>extent of risk</w:t>
      </w:r>
      <w:r w:rsidR="00C84367">
        <w:rPr>
          <w:rFonts w:asciiTheme="minorHAnsi" w:hAnsiTheme="minorHAnsi" w:cstheme="minorHAnsi"/>
          <w:sz w:val="22"/>
        </w:rPr>
        <w:t xml:space="preserve"> placed on the MCE</w:t>
      </w:r>
      <w:r w:rsidR="00C800E0" w:rsidRPr="000544D8">
        <w:rPr>
          <w:rFonts w:asciiTheme="minorHAnsi" w:hAnsiTheme="minorHAnsi" w:cstheme="minorHAnsi"/>
          <w:sz w:val="22"/>
        </w:rPr>
        <w:t xml:space="preserve"> and/or providers</w:t>
      </w:r>
      <w:r w:rsidR="00672337" w:rsidRPr="000544D8">
        <w:rPr>
          <w:rStyle w:val="FootnoteReference"/>
          <w:rFonts w:asciiTheme="minorHAnsi" w:hAnsiTheme="minorHAnsi" w:cstheme="minorHAnsi"/>
          <w:sz w:val="22"/>
        </w:rPr>
        <w:footnoteReference w:id="2"/>
      </w:r>
      <w:r w:rsidR="00836B86" w:rsidRPr="000544D8">
        <w:rPr>
          <w:rFonts w:asciiTheme="minorHAnsi" w:hAnsiTheme="minorHAnsi" w:cstheme="minorHAnsi"/>
          <w:sz w:val="22"/>
        </w:rPr>
        <w:t>. The</w:t>
      </w:r>
      <w:r w:rsidR="00966F48" w:rsidRPr="000544D8">
        <w:rPr>
          <w:rFonts w:asciiTheme="minorHAnsi" w:hAnsiTheme="minorHAnsi" w:cstheme="minorHAnsi"/>
          <w:sz w:val="22"/>
        </w:rPr>
        <w:t>se models</w:t>
      </w:r>
      <w:r w:rsidR="00836B86" w:rsidRPr="000544D8">
        <w:rPr>
          <w:rFonts w:asciiTheme="minorHAnsi" w:hAnsiTheme="minorHAnsi" w:cstheme="minorHAnsi"/>
          <w:sz w:val="22"/>
        </w:rPr>
        <w:t xml:space="preserve"> can be relatively simple to quite complex and often have a ramp up period with more complex approaches or requirements phased in over time.</w:t>
      </w:r>
      <w:r w:rsidR="00A97F83" w:rsidRPr="000544D8">
        <w:rPr>
          <w:rFonts w:asciiTheme="minorHAnsi" w:hAnsiTheme="minorHAnsi" w:cstheme="minorHAnsi"/>
          <w:sz w:val="22"/>
        </w:rPr>
        <w:t xml:space="preserve"> </w:t>
      </w:r>
      <w:r w:rsidR="005074DF" w:rsidRPr="000544D8">
        <w:rPr>
          <w:rFonts w:asciiTheme="minorHAnsi" w:hAnsiTheme="minorHAnsi" w:cstheme="minorHAnsi"/>
          <w:sz w:val="22"/>
        </w:rPr>
        <w:t xml:space="preserve"> Further, s</w:t>
      </w:r>
      <w:r w:rsidRPr="000544D8">
        <w:rPr>
          <w:rFonts w:asciiTheme="minorHAnsi" w:hAnsiTheme="minorHAnsi" w:cstheme="minorHAnsi"/>
          <w:sz w:val="22"/>
        </w:rPr>
        <w:t xml:space="preserve">tates </w:t>
      </w:r>
      <w:r w:rsidR="00672337" w:rsidRPr="000544D8">
        <w:rPr>
          <w:rFonts w:asciiTheme="minorHAnsi" w:hAnsiTheme="minorHAnsi" w:cstheme="minorHAnsi"/>
          <w:sz w:val="22"/>
        </w:rPr>
        <w:t>design their VBP models “in a</w:t>
      </w:r>
      <w:r w:rsidR="005074DF" w:rsidRPr="000544D8">
        <w:rPr>
          <w:rFonts w:asciiTheme="minorHAnsi" w:hAnsiTheme="minorHAnsi" w:cstheme="minorHAnsi"/>
          <w:sz w:val="22"/>
        </w:rPr>
        <w:t xml:space="preserve"> </w:t>
      </w:r>
      <w:r w:rsidRPr="000544D8">
        <w:rPr>
          <w:rFonts w:asciiTheme="minorHAnsi" w:hAnsiTheme="minorHAnsi" w:cstheme="minorHAnsi"/>
          <w:sz w:val="22"/>
        </w:rPr>
        <w:t>manner that makes sense for their local marketplace, their culture and their environment, so there is variability in the type of model used and how it is implemented</w:t>
      </w:r>
      <w:r w:rsidR="00672337" w:rsidRPr="000544D8">
        <w:rPr>
          <w:rFonts w:asciiTheme="minorHAnsi" w:hAnsiTheme="minorHAnsi" w:cstheme="minorHAnsi"/>
          <w:sz w:val="22"/>
        </w:rPr>
        <w:t>”</w:t>
      </w:r>
      <w:r w:rsidRPr="000544D8">
        <w:rPr>
          <w:rStyle w:val="EndnoteReference"/>
          <w:rFonts w:asciiTheme="minorHAnsi" w:hAnsiTheme="minorHAnsi" w:cstheme="minorHAnsi"/>
          <w:sz w:val="22"/>
        </w:rPr>
        <w:endnoteReference w:id="3"/>
      </w:r>
      <w:r w:rsidRPr="000544D8">
        <w:rPr>
          <w:rFonts w:asciiTheme="minorHAnsi" w:hAnsiTheme="minorHAnsi" w:cstheme="minorHAnsi"/>
          <w:sz w:val="22"/>
        </w:rPr>
        <w:t xml:space="preserve"> </w:t>
      </w:r>
      <w:r w:rsidR="009019B3" w:rsidRPr="000544D8">
        <w:rPr>
          <w:rFonts w:asciiTheme="minorHAnsi" w:hAnsiTheme="minorHAnsi" w:cstheme="minorHAnsi"/>
          <w:sz w:val="22"/>
        </w:rPr>
        <w:t>.</w:t>
      </w:r>
    </w:p>
    <w:p w14:paraId="3E3FED25" w14:textId="3A4EA7F0" w:rsidR="00875880" w:rsidRPr="000544D8" w:rsidRDefault="00875880" w:rsidP="00875880">
      <w:pPr>
        <w:pStyle w:val="BodyCambria10Black"/>
        <w:ind w:firstLine="720"/>
        <w:rPr>
          <w:rFonts w:asciiTheme="minorHAnsi" w:hAnsiTheme="minorHAnsi" w:cstheme="minorHAnsi"/>
          <w:sz w:val="22"/>
        </w:rPr>
      </w:pPr>
      <w:r w:rsidRPr="000544D8">
        <w:rPr>
          <w:rFonts w:asciiTheme="minorHAnsi" w:hAnsiTheme="minorHAnsi" w:cstheme="minorHAnsi"/>
          <w:sz w:val="22"/>
        </w:rPr>
        <w:t xml:space="preserve">Value based purchasing may not be right for every Medicaid program or managed care delivery system.  In the right situation, though, the implementation of a VBP initiative can be an effective way to further promote the delivery of better care, improved beneficiary health outcomes, and </w:t>
      </w:r>
      <w:r w:rsidR="00D2526E">
        <w:rPr>
          <w:rFonts w:asciiTheme="minorHAnsi" w:hAnsiTheme="minorHAnsi" w:cstheme="minorHAnsi"/>
          <w:sz w:val="22"/>
        </w:rPr>
        <w:t xml:space="preserve">a reduced trend in </w:t>
      </w:r>
      <w:r w:rsidRPr="000544D8">
        <w:rPr>
          <w:rFonts w:asciiTheme="minorHAnsi" w:hAnsiTheme="minorHAnsi" w:cstheme="minorHAnsi"/>
          <w:sz w:val="22"/>
        </w:rPr>
        <w:t xml:space="preserve">program costs. </w:t>
      </w:r>
    </w:p>
    <w:p w14:paraId="74B33E30" w14:textId="00F98CCB" w:rsidR="00C06C53" w:rsidRPr="000544D8" w:rsidRDefault="00C06C53" w:rsidP="00253778">
      <w:pPr>
        <w:pStyle w:val="BodyCambria10Black"/>
        <w:ind w:firstLine="720"/>
        <w:rPr>
          <w:rFonts w:asciiTheme="minorHAnsi" w:hAnsiTheme="minorHAnsi" w:cstheme="minorHAnsi"/>
          <w:sz w:val="22"/>
        </w:rPr>
      </w:pPr>
      <w:r w:rsidRPr="000544D8">
        <w:rPr>
          <w:rFonts w:asciiTheme="minorHAnsi" w:hAnsiTheme="minorHAnsi" w:cstheme="minorHAnsi"/>
          <w:sz w:val="22"/>
        </w:rPr>
        <w:lastRenderedPageBreak/>
        <w:t xml:space="preserve">The table below presents </w:t>
      </w:r>
      <w:r w:rsidR="002B17C6" w:rsidRPr="000544D8">
        <w:rPr>
          <w:rFonts w:asciiTheme="minorHAnsi" w:hAnsiTheme="minorHAnsi" w:cstheme="minorHAnsi"/>
          <w:sz w:val="22"/>
        </w:rPr>
        <w:t xml:space="preserve">general </w:t>
      </w:r>
      <w:r w:rsidRPr="000544D8">
        <w:rPr>
          <w:rFonts w:asciiTheme="minorHAnsi" w:hAnsiTheme="minorHAnsi" w:cstheme="minorHAnsi"/>
          <w:sz w:val="22"/>
        </w:rPr>
        <w:t>ex</w:t>
      </w:r>
      <w:r w:rsidR="002B17C6" w:rsidRPr="000544D8">
        <w:rPr>
          <w:rFonts w:asciiTheme="minorHAnsi" w:hAnsiTheme="minorHAnsi" w:cstheme="minorHAnsi"/>
          <w:sz w:val="22"/>
        </w:rPr>
        <w:t xml:space="preserve">amples of VBP </w:t>
      </w:r>
      <w:r w:rsidR="00C53BBE" w:rsidRPr="000544D8">
        <w:rPr>
          <w:rFonts w:asciiTheme="minorHAnsi" w:hAnsiTheme="minorHAnsi" w:cstheme="minorHAnsi"/>
          <w:sz w:val="22"/>
        </w:rPr>
        <w:t xml:space="preserve">approaches </w:t>
      </w:r>
      <w:r w:rsidRPr="000544D8">
        <w:rPr>
          <w:rFonts w:asciiTheme="minorHAnsi" w:hAnsiTheme="minorHAnsi" w:cstheme="minorHAnsi"/>
          <w:sz w:val="22"/>
        </w:rPr>
        <w:t>by relative degree of risk</w:t>
      </w:r>
      <w:r w:rsidR="002B17C6" w:rsidRPr="000544D8">
        <w:rPr>
          <w:rFonts w:asciiTheme="minorHAnsi" w:hAnsiTheme="minorHAnsi" w:cstheme="minorHAnsi"/>
          <w:sz w:val="22"/>
        </w:rPr>
        <w:t xml:space="preserve"> on the </w:t>
      </w:r>
      <w:r w:rsidR="0045583D">
        <w:rPr>
          <w:rFonts w:asciiTheme="minorHAnsi" w:hAnsiTheme="minorHAnsi" w:cstheme="minorHAnsi"/>
          <w:sz w:val="22"/>
        </w:rPr>
        <w:t>MCE</w:t>
      </w:r>
      <w:r w:rsidR="00B412F6" w:rsidRPr="000544D8">
        <w:rPr>
          <w:rFonts w:asciiTheme="minorHAnsi" w:hAnsiTheme="minorHAnsi" w:cstheme="minorHAnsi"/>
          <w:sz w:val="22"/>
        </w:rPr>
        <w:t xml:space="preserve"> </w:t>
      </w:r>
      <w:r w:rsidR="002B17C6" w:rsidRPr="000544D8">
        <w:rPr>
          <w:rFonts w:asciiTheme="minorHAnsi" w:hAnsiTheme="minorHAnsi" w:cstheme="minorHAnsi"/>
          <w:sz w:val="22"/>
        </w:rPr>
        <w:t>and/or providers</w:t>
      </w:r>
      <w:r w:rsidRPr="000544D8">
        <w:rPr>
          <w:rFonts w:asciiTheme="minorHAnsi" w:hAnsiTheme="minorHAnsi" w:cstheme="minorHAnsi"/>
          <w:sz w:val="22"/>
        </w:rPr>
        <w:t>.</w:t>
      </w:r>
    </w:p>
    <w:tbl>
      <w:tblPr>
        <w:tblStyle w:val="TableGrid1"/>
        <w:tblpPr w:leftFromText="180" w:rightFromText="180" w:vertAnchor="text" w:tblpX="-90" w:tblpY="1"/>
        <w:tblOverlap w:val="never"/>
        <w:tblW w:w="9363" w:type="dxa"/>
        <w:tblBorders>
          <w:top w:val="none" w:sz="0" w:space="0" w:color="auto"/>
          <w:left w:val="none" w:sz="0" w:space="0" w:color="auto"/>
          <w:bottom w:val="none" w:sz="0" w:space="0" w:color="auto"/>
          <w:right w:val="none" w:sz="0" w:space="0" w:color="auto"/>
          <w:insideH w:val="single" w:sz="18" w:space="0" w:color="A6A6A6" w:themeColor="background1" w:themeShade="A6"/>
          <w:insideV w:val="none" w:sz="0" w:space="0" w:color="auto"/>
        </w:tblBorders>
        <w:tblLayout w:type="fixed"/>
        <w:tblLook w:val="04A0" w:firstRow="1" w:lastRow="0" w:firstColumn="1" w:lastColumn="0" w:noHBand="0" w:noVBand="1"/>
      </w:tblPr>
      <w:tblGrid>
        <w:gridCol w:w="902"/>
        <w:gridCol w:w="2158"/>
        <w:gridCol w:w="4271"/>
        <w:gridCol w:w="2032"/>
      </w:tblGrid>
      <w:tr w:rsidR="00C06C53" w:rsidRPr="00495494" w14:paraId="2620B8E6" w14:textId="77777777" w:rsidTr="00C44617">
        <w:trPr>
          <w:trHeight w:val="360"/>
          <w:tblHeader/>
        </w:trPr>
        <w:tc>
          <w:tcPr>
            <w:tcW w:w="9363" w:type="dxa"/>
            <w:gridSpan w:val="4"/>
            <w:tcBorders>
              <w:top w:val="nil"/>
              <w:bottom w:val="single" w:sz="18" w:space="0" w:color="7AC142"/>
            </w:tcBorders>
            <w:shd w:val="clear" w:color="auto" w:fill="38939B"/>
          </w:tcPr>
          <w:p w14:paraId="1B65A968" w14:textId="4299C36B" w:rsidR="00C06C53" w:rsidRPr="00495494" w:rsidRDefault="00C06C53" w:rsidP="00BA001F">
            <w:pPr>
              <w:spacing w:before="120" w:after="120"/>
              <w:jc w:val="center"/>
              <w:rPr>
                <w:rFonts w:ascii="Arial Black" w:hAnsi="Arial Black" w:cs="Arial"/>
                <w:color w:val="FFFFFF" w:themeColor="background1"/>
              </w:rPr>
            </w:pPr>
            <w:r>
              <w:br w:type="page"/>
            </w:r>
            <w:r w:rsidR="00BA001F">
              <w:rPr>
                <w:rFonts w:ascii="Arial Black" w:hAnsi="Arial Black" w:cs="Arial"/>
                <w:color w:val="FFFFFF" w:themeColor="background1"/>
              </w:rPr>
              <w:t xml:space="preserve">Summary of VBP </w:t>
            </w:r>
            <w:r w:rsidR="00C53BBE">
              <w:rPr>
                <w:rFonts w:ascii="Arial Black" w:hAnsi="Arial Black" w:cs="Arial"/>
                <w:color w:val="FFFFFF" w:themeColor="background1"/>
              </w:rPr>
              <w:t>Approach</w:t>
            </w:r>
            <w:r w:rsidR="00BA001F">
              <w:rPr>
                <w:rFonts w:ascii="Arial Black" w:hAnsi="Arial Black" w:cs="Arial"/>
                <w:color w:val="FFFFFF" w:themeColor="background1"/>
              </w:rPr>
              <w:t>es</w:t>
            </w:r>
            <w:r>
              <w:rPr>
                <w:rFonts w:ascii="Arial Black" w:hAnsi="Arial Black" w:cs="Arial"/>
                <w:color w:val="FFFFFF" w:themeColor="background1"/>
              </w:rPr>
              <w:t xml:space="preserve"> by Degree of Risk</w:t>
            </w:r>
            <w:r w:rsidR="00BF22DA">
              <w:rPr>
                <w:rFonts w:ascii="Arial Black" w:hAnsi="Arial Black" w:cs="Arial"/>
                <w:color w:val="FFFFFF" w:themeColor="background1"/>
              </w:rPr>
              <w:t xml:space="preserve"> for </w:t>
            </w:r>
            <w:r w:rsidR="007200CB">
              <w:rPr>
                <w:rFonts w:ascii="Arial Black" w:hAnsi="Arial Black" w:cs="Arial"/>
                <w:color w:val="FFFFFF" w:themeColor="background1"/>
              </w:rPr>
              <w:t>M</w:t>
            </w:r>
            <w:r w:rsidR="00440824">
              <w:rPr>
                <w:rFonts w:ascii="Arial Black" w:hAnsi="Arial Black" w:cs="Arial"/>
                <w:color w:val="FFFFFF" w:themeColor="background1"/>
              </w:rPr>
              <w:t>CE</w:t>
            </w:r>
            <w:r w:rsidR="00BF22DA">
              <w:rPr>
                <w:rFonts w:ascii="Arial Black" w:hAnsi="Arial Black" w:cs="Arial"/>
                <w:color w:val="FFFFFF" w:themeColor="background1"/>
              </w:rPr>
              <w:t>s</w:t>
            </w:r>
            <w:r w:rsidR="001C248E">
              <w:rPr>
                <w:rFonts w:ascii="Arial Black" w:hAnsi="Arial Black" w:cs="Arial"/>
                <w:color w:val="FFFFFF" w:themeColor="background1"/>
              </w:rPr>
              <w:t xml:space="preserve"> </w:t>
            </w:r>
            <w:r w:rsidR="00BF22DA">
              <w:rPr>
                <w:rFonts w:ascii="Arial Black" w:hAnsi="Arial Black" w:cs="Arial"/>
                <w:color w:val="FFFFFF" w:themeColor="background1"/>
              </w:rPr>
              <w:t>/</w:t>
            </w:r>
            <w:r w:rsidR="001C248E">
              <w:rPr>
                <w:rFonts w:ascii="Arial Black" w:hAnsi="Arial Black" w:cs="Arial"/>
                <w:color w:val="FFFFFF" w:themeColor="background1"/>
              </w:rPr>
              <w:t xml:space="preserve"> </w:t>
            </w:r>
            <w:r w:rsidR="00BF22DA">
              <w:rPr>
                <w:rFonts w:ascii="Arial Black" w:hAnsi="Arial Black" w:cs="Arial"/>
                <w:color w:val="FFFFFF" w:themeColor="background1"/>
              </w:rPr>
              <w:t>Providers</w:t>
            </w:r>
          </w:p>
        </w:tc>
      </w:tr>
      <w:tr w:rsidR="00C06C53" w:rsidRPr="003E2B15" w14:paraId="2D9696FB" w14:textId="77777777" w:rsidTr="00853401">
        <w:trPr>
          <w:trHeight w:val="342"/>
          <w:tblHeader/>
        </w:trPr>
        <w:tc>
          <w:tcPr>
            <w:tcW w:w="3060" w:type="dxa"/>
            <w:gridSpan w:val="2"/>
            <w:tcBorders>
              <w:top w:val="single" w:sz="18" w:space="0" w:color="7AC142"/>
              <w:bottom w:val="single" w:sz="18" w:space="0" w:color="A6A6A6" w:themeColor="background1" w:themeShade="A6"/>
            </w:tcBorders>
            <w:shd w:val="clear" w:color="auto" w:fill="9CC5CA"/>
          </w:tcPr>
          <w:p w14:paraId="50621949" w14:textId="77777777" w:rsidR="00C06C53" w:rsidRPr="000B602B" w:rsidRDefault="00C06C53" w:rsidP="00606BEB">
            <w:pPr>
              <w:spacing w:before="60" w:after="60"/>
              <w:jc w:val="center"/>
              <w:rPr>
                <w:rFonts w:ascii="Arial" w:hAnsi="Arial" w:cs="Arial"/>
                <w:b/>
                <w:sz w:val="20"/>
                <w:szCs w:val="20"/>
              </w:rPr>
            </w:pPr>
            <w:r w:rsidRPr="000B602B">
              <w:rPr>
                <w:rFonts w:ascii="Arial" w:hAnsi="Arial" w:cs="Arial"/>
                <w:b/>
                <w:sz w:val="20"/>
                <w:szCs w:val="20"/>
              </w:rPr>
              <w:t>Activity</w:t>
            </w:r>
          </w:p>
        </w:tc>
        <w:tc>
          <w:tcPr>
            <w:tcW w:w="4271" w:type="dxa"/>
            <w:tcBorders>
              <w:top w:val="single" w:sz="18" w:space="0" w:color="7AC142"/>
              <w:bottom w:val="single" w:sz="18" w:space="0" w:color="A6A6A6" w:themeColor="background1" w:themeShade="A6"/>
            </w:tcBorders>
            <w:shd w:val="clear" w:color="auto" w:fill="9CC5CA"/>
          </w:tcPr>
          <w:p w14:paraId="5E70D52B" w14:textId="77777777" w:rsidR="00C06C53" w:rsidRPr="000B602B" w:rsidRDefault="00C06C53" w:rsidP="00606BEB">
            <w:pPr>
              <w:spacing w:before="60" w:after="60"/>
              <w:jc w:val="center"/>
              <w:rPr>
                <w:rFonts w:ascii="Arial" w:hAnsi="Arial" w:cs="Arial"/>
                <w:b/>
                <w:sz w:val="20"/>
                <w:szCs w:val="20"/>
              </w:rPr>
            </w:pPr>
            <w:r w:rsidRPr="000B602B">
              <w:rPr>
                <w:rFonts w:ascii="Arial" w:hAnsi="Arial" w:cs="Arial"/>
                <w:b/>
                <w:sz w:val="20"/>
                <w:szCs w:val="20"/>
              </w:rPr>
              <w:t>Definition</w:t>
            </w:r>
          </w:p>
        </w:tc>
        <w:tc>
          <w:tcPr>
            <w:tcW w:w="2032" w:type="dxa"/>
            <w:tcBorders>
              <w:top w:val="single" w:sz="18" w:space="0" w:color="7AC142"/>
              <w:bottom w:val="single" w:sz="18" w:space="0" w:color="A6A6A6" w:themeColor="background1" w:themeShade="A6"/>
            </w:tcBorders>
            <w:shd w:val="clear" w:color="auto" w:fill="9CC5CA"/>
          </w:tcPr>
          <w:p w14:paraId="29AEAFAF" w14:textId="77777777" w:rsidR="00C06C53" w:rsidRPr="003E2B15" w:rsidRDefault="00C06C53" w:rsidP="00606BEB">
            <w:pPr>
              <w:spacing w:before="60" w:after="60"/>
              <w:jc w:val="center"/>
              <w:rPr>
                <w:rFonts w:ascii="Arial" w:hAnsi="Arial" w:cs="Arial"/>
                <w:b/>
                <w:color w:val="000000" w:themeColor="text1"/>
                <w:sz w:val="20"/>
                <w:szCs w:val="20"/>
              </w:rPr>
            </w:pPr>
          </w:p>
        </w:tc>
      </w:tr>
      <w:tr w:rsidR="00C06C53" w:rsidRPr="00495494" w14:paraId="2075CD50" w14:textId="77777777" w:rsidTr="00C44617">
        <w:trPr>
          <w:cantSplit/>
          <w:trHeight w:val="1179"/>
        </w:trPr>
        <w:tc>
          <w:tcPr>
            <w:tcW w:w="902" w:type="dxa"/>
            <w:vMerge w:val="restart"/>
            <w:tcBorders>
              <w:top w:val="single" w:sz="18" w:space="0" w:color="A6A6A6" w:themeColor="background1" w:themeShade="A6"/>
              <w:left w:val="single" w:sz="18" w:space="0" w:color="A6A6A6" w:themeColor="background1" w:themeShade="A6"/>
              <w:right w:val="single" w:sz="4" w:space="0" w:color="A6A6A6" w:themeColor="background1" w:themeShade="A6"/>
            </w:tcBorders>
          </w:tcPr>
          <w:p w14:paraId="052ADCD3" w14:textId="77777777" w:rsidR="00C06C53" w:rsidRDefault="00C06C53" w:rsidP="00606BEB">
            <w:pPr>
              <w:jc w:val="cente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1312" behindDoc="0" locked="0" layoutInCell="1" allowOverlap="1" wp14:anchorId="70D90DD8" wp14:editId="51F51CC4">
                      <wp:simplePos x="0" y="0"/>
                      <wp:positionH relativeFrom="column">
                        <wp:posOffset>79375</wp:posOffset>
                      </wp:positionH>
                      <wp:positionV relativeFrom="paragraph">
                        <wp:posOffset>364490</wp:posOffset>
                      </wp:positionV>
                      <wp:extent cx="259080" cy="4457700"/>
                      <wp:effectExtent l="0" t="0" r="7620" b="0"/>
                      <wp:wrapNone/>
                      <wp:docPr id="6" name="Down Arrow 6"/>
                      <wp:cNvGraphicFramePr/>
                      <a:graphic xmlns:a="http://schemas.openxmlformats.org/drawingml/2006/main">
                        <a:graphicData uri="http://schemas.microsoft.com/office/word/2010/wordprocessingShape">
                          <wps:wsp>
                            <wps:cNvSpPr/>
                            <wps:spPr>
                              <a:xfrm>
                                <a:off x="0" y="0"/>
                                <a:ext cx="259080" cy="4457700"/>
                              </a:xfrm>
                              <a:prstGeom prst="downArrow">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B82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6.25pt;margin-top:28.7pt;width:20.4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" adj="20972" fillcolor="#c2d69b [1942]" stroked="f" strokeweight="2pt"/>
                  </w:pict>
                </mc:Fallback>
              </mc:AlternateContent>
            </w:r>
            <w:r w:rsidRPr="000B602B">
              <w:rPr>
                <w:rFonts w:ascii="Arial" w:hAnsi="Arial" w:cs="Arial"/>
                <w:b/>
                <w:sz w:val="18"/>
                <w:szCs w:val="18"/>
              </w:rPr>
              <w:t>Less Risk</w:t>
            </w:r>
          </w:p>
          <w:p w14:paraId="5866429F" w14:textId="77777777" w:rsidR="00C06C53" w:rsidRDefault="00C06C53" w:rsidP="00606BEB">
            <w:pPr>
              <w:jc w:val="center"/>
              <w:rPr>
                <w:rFonts w:ascii="Arial" w:hAnsi="Arial" w:cs="Arial"/>
                <w:b/>
                <w:sz w:val="18"/>
                <w:szCs w:val="18"/>
              </w:rPr>
            </w:pPr>
          </w:p>
          <w:p w14:paraId="6616C1E6" w14:textId="77777777" w:rsidR="00C06C53" w:rsidRDefault="00C06C53" w:rsidP="00606BEB">
            <w:pPr>
              <w:jc w:val="center"/>
              <w:rPr>
                <w:rFonts w:ascii="Arial" w:hAnsi="Arial" w:cs="Arial"/>
                <w:b/>
                <w:sz w:val="18"/>
                <w:szCs w:val="18"/>
              </w:rPr>
            </w:pPr>
          </w:p>
          <w:p w14:paraId="1219833A" w14:textId="77777777" w:rsidR="00C06C53" w:rsidRDefault="00C06C53" w:rsidP="00606BEB">
            <w:pPr>
              <w:jc w:val="center"/>
              <w:rPr>
                <w:rFonts w:ascii="Arial" w:hAnsi="Arial" w:cs="Arial"/>
                <w:b/>
                <w:sz w:val="18"/>
                <w:szCs w:val="18"/>
              </w:rPr>
            </w:pPr>
          </w:p>
          <w:p w14:paraId="77CC0668" w14:textId="77777777" w:rsidR="00C06C53" w:rsidRDefault="00C06C53" w:rsidP="00606BEB">
            <w:pPr>
              <w:jc w:val="center"/>
              <w:rPr>
                <w:rFonts w:ascii="Arial" w:hAnsi="Arial" w:cs="Arial"/>
                <w:b/>
                <w:sz w:val="18"/>
                <w:szCs w:val="18"/>
              </w:rPr>
            </w:pPr>
          </w:p>
          <w:p w14:paraId="691EC8C7" w14:textId="77777777" w:rsidR="00C06C53" w:rsidRDefault="00C06C53" w:rsidP="00606BEB">
            <w:pPr>
              <w:jc w:val="center"/>
              <w:rPr>
                <w:rFonts w:ascii="Arial" w:hAnsi="Arial" w:cs="Arial"/>
                <w:b/>
                <w:sz w:val="18"/>
                <w:szCs w:val="18"/>
              </w:rPr>
            </w:pPr>
          </w:p>
          <w:p w14:paraId="5D096404" w14:textId="77777777" w:rsidR="00C06C53" w:rsidRDefault="00C06C53" w:rsidP="00606BEB">
            <w:pPr>
              <w:jc w:val="center"/>
              <w:rPr>
                <w:rFonts w:ascii="Arial" w:hAnsi="Arial" w:cs="Arial"/>
                <w:b/>
                <w:sz w:val="18"/>
                <w:szCs w:val="18"/>
              </w:rPr>
            </w:pPr>
          </w:p>
          <w:p w14:paraId="4C4ED29B" w14:textId="77777777" w:rsidR="00C06C53" w:rsidRDefault="00C06C53" w:rsidP="00606BEB">
            <w:pPr>
              <w:jc w:val="center"/>
              <w:rPr>
                <w:rFonts w:ascii="Arial" w:hAnsi="Arial" w:cs="Arial"/>
                <w:b/>
                <w:sz w:val="18"/>
                <w:szCs w:val="18"/>
              </w:rPr>
            </w:pPr>
          </w:p>
          <w:p w14:paraId="06F26665" w14:textId="77777777" w:rsidR="00C06C53" w:rsidRDefault="00C06C53" w:rsidP="00606BEB">
            <w:pPr>
              <w:jc w:val="center"/>
              <w:rPr>
                <w:rFonts w:ascii="Arial" w:hAnsi="Arial" w:cs="Arial"/>
                <w:b/>
                <w:sz w:val="18"/>
                <w:szCs w:val="18"/>
              </w:rPr>
            </w:pPr>
          </w:p>
          <w:p w14:paraId="1C4EDB41" w14:textId="77777777" w:rsidR="00C06C53" w:rsidRDefault="00C06C53" w:rsidP="00606BEB">
            <w:pPr>
              <w:jc w:val="center"/>
              <w:rPr>
                <w:rFonts w:ascii="Arial" w:hAnsi="Arial" w:cs="Arial"/>
                <w:b/>
                <w:sz w:val="18"/>
                <w:szCs w:val="18"/>
              </w:rPr>
            </w:pPr>
          </w:p>
          <w:p w14:paraId="183E06AF" w14:textId="77777777" w:rsidR="00C06C53" w:rsidRDefault="00C06C53" w:rsidP="00606BEB">
            <w:pPr>
              <w:jc w:val="center"/>
              <w:rPr>
                <w:rFonts w:ascii="Arial" w:hAnsi="Arial" w:cs="Arial"/>
                <w:b/>
                <w:sz w:val="18"/>
                <w:szCs w:val="18"/>
              </w:rPr>
            </w:pPr>
          </w:p>
          <w:p w14:paraId="1E9338A6" w14:textId="77777777" w:rsidR="00C06C53" w:rsidRDefault="00C06C53" w:rsidP="00606BEB">
            <w:pPr>
              <w:jc w:val="center"/>
              <w:rPr>
                <w:rFonts w:ascii="Arial" w:hAnsi="Arial" w:cs="Arial"/>
                <w:b/>
                <w:sz w:val="18"/>
                <w:szCs w:val="18"/>
              </w:rPr>
            </w:pPr>
          </w:p>
          <w:p w14:paraId="10F10050" w14:textId="77777777" w:rsidR="00C06C53" w:rsidRDefault="00C06C53" w:rsidP="00606BEB">
            <w:pPr>
              <w:jc w:val="center"/>
              <w:rPr>
                <w:rFonts w:ascii="Arial" w:hAnsi="Arial" w:cs="Arial"/>
                <w:b/>
                <w:sz w:val="18"/>
                <w:szCs w:val="18"/>
              </w:rPr>
            </w:pPr>
          </w:p>
          <w:p w14:paraId="08A5C5E6" w14:textId="77777777" w:rsidR="00C06C53" w:rsidRDefault="00C06C53" w:rsidP="00606BEB">
            <w:pPr>
              <w:jc w:val="center"/>
              <w:rPr>
                <w:rFonts w:ascii="Arial" w:hAnsi="Arial" w:cs="Arial"/>
                <w:b/>
                <w:sz w:val="18"/>
                <w:szCs w:val="18"/>
              </w:rPr>
            </w:pPr>
          </w:p>
          <w:p w14:paraId="5AA5AAF2" w14:textId="77777777" w:rsidR="00C06C53" w:rsidRDefault="00C06C53" w:rsidP="00606BEB">
            <w:pPr>
              <w:jc w:val="center"/>
              <w:rPr>
                <w:rFonts w:ascii="Arial" w:hAnsi="Arial" w:cs="Arial"/>
                <w:b/>
                <w:sz w:val="18"/>
                <w:szCs w:val="18"/>
              </w:rPr>
            </w:pPr>
          </w:p>
          <w:p w14:paraId="209BEE11" w14:textId="77777777" w:rsidR="00C06C53" w:rsidRDefault="00C06C53" w:rsidP="00606BEB">
            <w:pPr>
              <w:jc w:val="center"/>
              <w:rPr>
                <w:rFonts w:ascii="Arial" w:hAnsi="Arial" w:cs="Arial"/>
                <w:b/>
                <w:sz w:val="18"/>
                <w:szCs w:val="18"/>
              </w:rPr>
            </w:pPr>
          </w:p>
          <w:p w14:paraId="1908C816" w14:textId="77777777" w:rsidR="00C06C53" w:rsidRDefault="00C06C53" w:rsidP="00606BEB">
            <w:pPr>
              <w:jc w:val="center"/>
              <w:rPr>
                <w:rFonts w:ascii="Arial" w:hAnsi="Arial" w:cs="Arial"/>
                <w:b/>
                <w:sz w:val="18"/>
                <w:szCs w:val="18"/>
              </w:rPr>
            </w:pPr>
          </w:p>
          <w:p w14:paraId="00F0B988" w14:textId="77777777" w:rsidR="00C06C53" w:rsidRPr="000B602B" w:rsidRDefault="00C06C53" w:rsidP="00606BEB">
            <w:pPr>
              <w:jc w:val="center"/>
              <w:rPr>
                <w:rFonts w:ascii="Arial" w:hAnsi="Arial" w:cs="Arial"/>
                <w:b/>
                <w:sz w:val="18"/>
                <w:szCs w:val="18"/>
              </w:rPr>
            </w:pPr>
            <w:r>
              <w:rPr>
                <w:rFonts w:ascii="Arial" w:hAnsi="Arial" w:cs="Arial"/>
                <w:b/>
                <w:sz w:val="18"/>
                <w:szCs w:val="18"/>
              </w:rPr>
              <w:t>More Risk</w:t>
            </w:r>
          </w:p>
        </w:tc>
        <w:tc>
          <w:tcPr>
            <w:tcW w:w="2158"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4" w:space="0" w:color="A6A6A6" w:themeColor="background1" w:themeShade="A6"/>
            </w:tcBorders>
          </w:tcPr>
          <w:p w14:paraId="2E0A3919" w14:textId="77777777" w:rsidR="00C06C53" w:rsidRPr="000B602B" w:rsidRDefault="00C06C53" w:rsidP="00606BEB">
            <w:pPr>
              <w:jc w:val="center"/>
              <w:rPr>
                <w:rFonts w:ascii="Arial" w:hAnsi="Arial" w:cs="Arial"/>
                <w:b/>
                <w:sz w:val="18"/>
                <w:szCs w:val="18"/>
              </w:rPr>
            </w:pPr>
            <w:r w:rsidRPr="000B602B">
              <w:rPr>
                <w:rFonts w:ascii="Arial" w:hAnsi="Arial" w:cs="Arial"/>
                <w:b/>
                <w:sz w:val="18"/>
                <w:szCs w:val="18"/>
              </w:rPr>
              <w:t>Pay for Coordination</w:t>
            </w:r>
          </w:p>
        </w:tc>
        <w:tc>
          <w:tcPr>
            <w:tcW w:w="6303" w:type="dxa"/>
            <w:gridSpan w:val="2"/>
            <w:tcBorders>
              <w:top w:val="single" w:sz="18" w:space="0" w:color="A6A6A6" w:themeColor="background1" w:themeShade="A6"/>
              <w:left w:val="single" w:sz="4" w:space="0" w:color="A6A6A6" w:themeColor="background1" w:themeShade="A6"/>
              <w:bottom w:val="single" w:sz="18" w:space="0" w:color="A6A6A6" w:themeColor="background1" w:themeShade="A6"/>
              <w:right w:val="single" w:sz="18" w:space="0" w:color="A6A6A6" w:themeColor="background1" w:themeShade="A6"/>
            </w:tcBorders>
          </w:tcPr>
          <w:p w14:paraId="593D51BE" w14:textId="58E277A3" w:rsidR="00C06C53" w:rsidRPr="00495494" w:rsidRDefault="00C06C53" w:rsidP="00E778AF">
            <w:pPr>
              <w:rPr>
                <w:rFonts w:ascii="Arial" w:hAnsi="Arial" w:cs="Arial"/>
                <w:sz w:val="18"/>
                <w:szCs w:val="18"/>
              </w:rPr>
            </w:pPr>
            <w:r>
              <w:rPr>
                <w:rFonts w:ascii="Arial" w:hAnsi="Arial" w:cs="Arial"/>
                <w:sz w:val="18"/>
                <w:szCs w:val="18"/>
              </w:rPr>
              <w:t xml:space="preserve">The </w:t>
            </w:r>
            <w:r w:rsidR="007200CB">
              <w:rPr>
                <w:rFonts w:ascii="Arial" w:hAnsi="Arial" w:cs="Arial"/>
                <w:sz w:val="18"/>
                <w:szCs w:val="18"/>
              </w:rPr>
              <w:t>M</w:t>
            </w:r>
            <w:r w:rsidR="00440824">
              <w:rPr>
                <w:rFonts w:ascii="Arial" w:hAnsi="Arial" w:cs="Arial"/>
                <w:sz w:val="18"/>
                <w:szCs w:val="18"/>
              </w:rPr>
              <w:t>CE</w:t>
            </w:r>
            <w:r>
              <w:rPr>
                <w:rFonts w:ascii="Arial" w:hAnsi="Arial" w:cs="Arial"/>
                <w:sz w:val="18"/>
                <w:szCs w:val="18"/>
              </w:rPr>
              <w:t xml:space="preserve"> pays p</w:t>
            </w:r>
            <w:r w:rsidRPr="00A06504">
              <w:rPr>
                <w:rFonts w:ascii="Arial" w:hAnsi="Arial" w:cs="Arial"/>
                <w:sz w:val="18"/>
                <w:szCs w:val="18"/>
              </w:rPr>
              <w:t xml:space="preserve">rimary care practices or a group of practices </w:t>
            </w:r>
            <w:r>
              <w:rPr>
                <w:rFonts w:ascii="Arial" w:hAnsi="Arial" w:cs="Arial"/>
                <w:sz w:val="18"/>
                <w:szCs w:val="18"/>
              </w:rPr>
              <w:t xml:space="preserve">to </w:t>
            </w:r>
            <w:r w:rsidRPr="00A06504">
              <w:rPr>
                <w:rFonts w:ascii="Arial" w:hAnsi="Arial" w:cs="Arial"/>
                <w:sz w:val="18"/>
                <w:szCs w:val="18"/>
              </w:rPr>
              <w:t xml:space="preserve">accept responsibility for managing the health of and the delivery of specific services to a defined population in exchange for </w:t>
            </w:r>
            <w:r>
              <w:rPr>
                <w:rFonts w:ascii="Arial" w:hAnsi="Arial" w:cs="Arial"/>
                <w:sz w:val="18"/>
                <w:szCs w:val="18"/>
              </w:rPr>
              <w:t xml:space="preserve">a fee </w:t>
            </w:r>
            <w:r w:rsidRPr="00A06504">
              <w:rPr>
                <w:rFonts w:ascii="Arial" w:hAnsi="Arial" w:cs="Arial"/>
                <w:sz w:val="18"/>
                <w:szCs w:val="18"/>
              </w:rPr>
              <w:t>and with the goal of meeting specified health car</w:t>
            </w:r>
            <w:r w:rsidR="000316FF">
              <w:rPr>
                <w:rFonts w:ascii="Arial" w:hAnsi="Arial" w:cs="Arial"/>
                <w:sz w:val="18"/>
                <w:szCs w:val="18"/>
              </w:rPr>
              <w:t>e outcomes. May require</w:t>
            </w:r>
            <w:r w:rsidRPr="00A06504">
              <w:rPr>
                <w:rFonts w:ascii="Arial" w:hAnsi="Arial" w:cs="Arial"/>
                <w:sz w:val="18"/>
                <w:szCs w:val="18"/>
              </w:rPr>
              <w:t xml:space="preserve"> use of</w:t>
            </w:r>
            <w:r w:rsidR="000316FF">
              <w:rPr>
                <w:rFonts w:ascii="Arial" w:hAnsi="Arial" w:cs="Arial"/>
                <w:sz w:val="18"/>
                <w:szCs w:val="18"/>
              </w:rPr>
              <w:t xml:space="preserve"> electronic health records</w:t>
            </w:r>
            <w:r w:rsidRPr="00A06504">
              <w:rPr>
                <w:rFonts w:ascii="Arial" w:hAnsi="Arial" w:cs="Arial"/>
                <w:sz w:val="18"/>
                <w:szCs w:val="18"/>
              </w:rPr>
              <w:t>.  Primary care medical home</w:t>
            </w:r>
            <w:r>
              <w:rPr>
                <w:rFonts w:ascii="Arial" w:hAnsi="Arial" w:cs="Arial"/>
                <w:sz w:val="18"/>
                <w:szCs w:val="18"/>
              </w:rPr>
              <w:t>s are an example of this model.</w:t>
            </w:r>
          </w:p>
        </w:tc>
      </w:tr>
      <w:tr w:rsidR="00C06C53" w:rsidRPr="00495494" w14:paraId="0A3507F7" w14:textId="77777777" w:rsidTr="00853401">
        <w:trPr>
          <w:trHeight w:val="414"/>
        </w:trPr>
        <w:tc>
          <w:tcPr>
            <w:tcW w:w="902" w:type="dxa"/>
            <w:vMerge/>
            <w:tcBorders>
              <w:left w:val="single" w:sz="18" w:space="0" w:color="A6A6A6" w:themeColor="background1" w:themeShade="A6"/>
              <w:right w:val="single" w:sz="4" w:space="0" w:color="A6A6A6" w:themeColor="background1" w:themeShade="A6"/>
            </w:tcBorders>
          </w:tcPr>
          <w:p w14:paraId="62524BC7" w14:textId="77777777" w:rsidR="00C06C53" w:rsidRPr="00495494" w:rsidRDefault="00C06C53" w:rsidP="00606BEB">
            <w:pPr>
              <w:rPr>
                <w:rFonts w:ascii="Arial" w:hAnsi="Arial" w:cs="Arial"/>
                <w:sz w:val="18"/>
                <w:szCs w:val="18"/>
              </w:rPr>
            </w:pPr>
          </w:p>
        </w:tc>
        <w:tc>
          <w:tcPr>
            <w:tcW w:w="2158"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4" w:space="0" w:color="A6A6A6" w:themeColor="background1" w:themeShade="A6"/>
            </w:tcBorders>
          </w:tcPr>
          <w:p w14:paraId="0A3209B5" w14:textId="77777777" w:rsidR="00C06C53" w:rsidRPr="000B602B" w:rsidRDefault="00C06C53" w:rsidP="00606BEB">
            <w:pPr>
              <w:jc w:val="center"/>
              <w:rPr>
                <w:rFonts w:ascii="Arial" w:hAnsi="Arial" w:cs="Arial"/>
                <w:b/>
                <w:sz w:val="18"/>
                <w:szCs w:val="18"/>
              </w:rPr>
            </w:pPr>
            <w:r w:rsidRPr="000B602B">
              <w:rPr>
                <w:rFonts w:ascii="Arial" w:hAnsi="Arial" w:cs="Arial"/>
                <w:b/>
                <w:sz w:val="18"/>
                <w:szCs w:val="18"/>
              </w:rPr>
              <w:t>Pay for Performance</w:t>
            </w:r>
          </w:p>
        </w:tc>
        <w:tc>
          <w:tcPr>
            <w:tcW w:w="6303" w:type="dxa"/>
            <w:gridSpan w:val="2"/>
            <w:tcBorders>
              <w:top w:val="single" w:sz="18" w:space="0" w:color="A6A6A6" w:themeColor="background1" w:themeShade="A6"/>
              <w:left w:val="single" w:sz="4" w:space="0" w:color="A6A6A6" w:themeColor="background1" w:themeShade="A6"/>
              <w:bottom w:val="single" w:sz="18" w:space="0" w:color="A6A6A6" w:themeColor="background1" w:themeShade="A6"/>
              <w:right w:val="single" w:sz="18" w:space="0" w:color="A6A6A6" w:themeColor="background1" w:themeShade="A6"/>
            </w:tcBorders>
          </w:tcPr>
          <w:p w14:paraId="3CAB1442" w14:textId="58BC8E4A" w:rsidR="00C06C53" w:rsidRPr="00495494" w:rsidRDefault="00C06C53" w:rsidP="00606BEB">
            <w:pPr>
              <w:rPr>
                <w:rFonts w:ascii="Arial" w:hAnsi="Arial" w:cs="Arial"/>
                <w:sz w:val="18"/>
                <w:szCs w:val="18"/>
              </w:rPr>
            </w:pPr>
            <w:r>
              <w:rPr>
                <w:rFonts w:ascii="Arial" w:hAnsi="Arial" w:cs="Arial"/>
                <w:sz w:val="18"/>
                <w:szCs w:val="18"/>
              </w:rPr>
              <w:t xml:space="preserve">Rewards </w:t>
            </w:r>
            <w:r w:rsidR="007200CB">
              <w:rPr>
                <w:rFonts w:ascii="Arial" w:hAnsi="Arial" w:cs="Arial"/>
                <w:sz w:val="18"/>
                <w:szCs w:val="18"/>
              </w:rPr>
              <w:t>M</w:t>
            </w:r>
            <w:r w:rsidR="00440824">
              <w:rPr>
                <w:rFonts w:ascii="Arial" w:hAnsi="Arial" w:cs="Arial"/>
                <w:sz w:val="18"/>
                <w:szCs w:val="18"/>
              </w:rPr>
              <w:t>CE</w:t>
            </w:r>
            <w:r>
              <w:rPr>
                <w:rFonts w:ascii="Arial" w:hAnsi="Arial" w:cs="Arial"/>
                <w:sz w:val="18"/>
                <w:szCs w:val="18"/>
              </w:rPr>
              <w:t>s and</w:t>
            </w:r>
            <w:r w:rsidR="002D644E">
              <w:rPr>
                <w:rFonts w:ascii="Arial" w:hAnsi="Arial" w:cs="Arial"/>
                <w:sz w:val="18"/>
                <w:szCs w:val="18"/>
              </w:rPr>
              <w:t xml:space="preserve"> </w:t>
            </w:r>
            <w:r>
              <w:rPr>
                <w:rFonts w:ascii="Arial" w:hAnsi="Arial" w:cs="Arial"/>
                <w:sz w:val="18"/>
                <w:szCs w:val="18"/>
              </w:rPr>
              <w:t>/</w:t>
            </w:r>
            <w:r w:rsidR="002D644E">
              <w:rPr>
                <w:rFonts w:ascii="Arial" w:hAnsi="Arial" w:cs="Arial"/>
                <w:sz w:val="18"/>
                <w:szCs w:val="18"/>
              </w:rPr>
              <w:t xml:space="preserve"> </w:t>
            </w:r>
            <w:r>
              <w:rPr>
                <w:rFonts w:ascii="Arial" w:hAnsi="Arial" w:cs="Arial"/>
                <w:sz w:val="18"/>
                <w:szCs w:val="18"/>
              </w:rPr>
              <w:t xml:space="preserve">or providers for achieving or exceeding contractually specified health care outcomes. Payments are determined by evaluating the </w:t>
            </w:r>
            <w:r w:rsidR="007200CB">
              <w:rPr>
                <w:rFonts w:ascii="Arial" w:hAnsi="Arial" w:cs="Arial"/>
                <w:sz w:val="18"/>
                <w:szCs w:val="18"/>
              </w:rPr>
              <w:t>M</w:t>
            </w:r>
            <w:r w:rsidR="00440824">
              <w:rPr>
                <w:rFonts w:ascii="Arial" w:hAnsi="Arial" w:cs="Arial"/>
                <w:sz w:val="18"/>
                <w:szCs w:val="18"/>
              </w:rPr>
              <w:t>CE</w:t>
            </w:r>
            <w:r>
              <w:rPr>
                <w:rFonts w:ascii="Arial" w:hAnsi="Arial" w:cs="Arial"/>
                <w:sz w:val="18"/>
                <w:szCs w:val="18"/>
              </w:rPr>
              <w:t xml:space="preserve"> and/or provider performance against established benchmarks. </w:t>
            </w:r>
          </w:p>
        </w:tc>
      </w:tr>
      <w:tr w:rsidR="00C06C53" w:rsidRPr="00495494" w14:paraId="237ADD96" w14:textId="77777777" w:rsidTr="00853401">
        <w:trPr>
          <w:trHeight w:val="1398"/>
        </w:trPr>
        <w:tc>
          <w:tcPr>
            <w:tcW w:w="902" w:type="dxa"/>
            <w:vMerge/>
            <w:tcBorders>
              <w:left w:val="single" w:sz="18" w:space="0" w:color="A6A6A6" w:themeColor="background1" w:themeShade="A6"/>
              <w:right w:val="single" w:sz="4" w:space="0" w:color="A6A6A6" w:themeColor="background1" w:themeShade="A6"/>
            </w:tcBorders>
          </w:tcPr>
          <w:p w14:paraId="2F7F35FF" w14:textId="77777777" w:rsidR="00C06C53" w:rsidRPr="00495494" w:rsidRDefault="00C06C53" w:rsidP="00606BEB">
            <w:pPr>
              <w:rPr>
                <w:rFonts w:ascii="Arial" w:hAnsi="Arial" w:cs="Arial"/>
                <w:sz w:val="18"/>
                <w:szCs w:val="18"/>
              </w:rPr>
            </w:pPr>
          </w:p>
        </w:tc>
        <w:tc>
          <w:tcPr>
            <w:tcW w:w="2158"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4" w:space="0" w:color="A6A6A6" w:themeColor="background1" w:themeShade="A6"/>
            </w:tcBorders>
          </w:tcPr>
          <w:p w14:paraId="3E473202" w14:textId="21F27E0A" w:rsidR="00C06C53" w:rsidRPr="000B602B" w:rsidRDefault="00C06C53" w:rsidP="00F43B54">
            <w:pPr>
              <w:jc w:val="center"/>
              <w:rPr>
                <w:rFonts w:ascii="Arial" w:hAnsi="Arial" w:cs="Arial"/>
                <w:b/>
                <w:sz w:val="18"/>
                <w:szCs w:val="18"/>
              </w:rPr>
            </w:pPr>
            <w:r w:rsidRPr="000B602B">
              <w:rPr>
                <w:rFonts w:ascii="Arial" w:hAnsi="Arial" w:cs="Arial"/>
                <w:b/>
                <w:sz w:val="18"/>
                <w:szCs w:val="18"/>
              </w:rPr>
              <w:t>Episode-based</w:t>
            </w:r>
            <w:r w:rsidR="002D644E">
              <w:rPr>
                <w:rFonts w:ascii="Arial" w:hAnsi="Arial" w:cs="Arial"/>
                <w:b/>
                <w:sz w:val="18"/>
                <w:szCs w:val="18"/>
              </w:rPr>
              <w:t xml:space="preserve"> </w:t>
            </w:r>
            <w:r w:rsidRPr="000B602B">
              <w:rPr>
                <w:rFonts w:ascii="Arial" w:hAnsi="Arial" w:cs="Arial"/>
                <w:b/>
                <w:sz w:val="18"/>
                <w:szCs w:val="18"/>
              </w:rPr>
              <w:t>/</w:t>
            </w:r>
            <w:r w:rsidR="002D644E">
              <w:rPr>
                <w:rFonts w:ascii="Arial" w:hAnsi="Arial" w:cs="Arial"/>
                <w:b/>
                <w:sz w:val="18"/>
                <w:szCs w:val="18"/>
              </w:rPr>
              <w:t xml:space="preserve"> </w:t>
            </w:r>
            <w:r w:rsidRPr="000B602B">
              <w:rPr>
                <w:rFonts w:ascii="Arial" w:hAnsi="Arial" w:cs="Arial"/>
                <w:b/>
                <w:sz w:val="18"/>
                <w:szCs w:val="18"/>
              </w:rPr>
              <w:t>Global</w:t>
            </w:r>
            <w:r w:rsidR="00564A12">
              <w:rPr>
                <w:rFonts w:ascii="Arial" w:hAnsi="Arial" w:cs="Arial"/>
                <w:b/>
                <w:sz w:val="18"/>
                <w:szCs w:val="18"/>
              </w:rPr>
              <w:t xml:space="preserve"> </w:t>
            </w:r>
            <w:r w:rsidR="00F43B54">
              <w:rPr>
                <w:rFonts w:ascii="Arial" w:hAnsi="Arial" w:cs="Arial"/>
                <w:b/>
                <w:sz w:val="18"/>
                <w:szCs w:val="18"/>
              </w:rPr>
              <w:t>/</w:t>
            </w:r>
            <w:r w:rsidR="00564A12">
              <w:rPr>
                <w:rFonts w:ascii="Arial" w:hAnsi="Arial" w:cs="Arial"/>
                <w:b/>
                <w:sz w:val="18"/>
                <w:szCs w:val="18"/>
              </w:rPr>
              <w:t xml:space="preserve"> </w:t>
            </w:r>
            <w:r w:rsidR="00F43B54">
              <w:rPr>
                <w:rFonts w:ascii="Arial" w:hAnsi="Arial" w:cs="Arial"/>
                <w:b/>
                <w:sz w:val="18"/>
                <w:szCs w:val="18"/>
              </w:rPr>
              <w:t xml:space="preserve">Bundled </w:t>
            </w:r>
            <w:r w:rsidRPr="000B602B">
              <w:rPr>
                <w:rFonts w:ascii="Arial" w:hAnsi="Arial" w:cs="Arial"/>
                <w:b/>
                <w:sz w:val="18"/>
                <w:szCs w:val="18"/>
              </w:rPr>
              <w:t>Payments</w:t>
            </w:r>
          </w:p>
        </w:tc>
        <w:tc>
          <w:tcPr>
            <w:tcW w:w="6303" w:type="dxa"/>
            <w:gridSpan w:val="2"/>
            <w:tcBorders>
              <w:top w:val="single" w:sz="18" w:space="0" w:color="A6A6A6" w:themeColor="background1" w:themeShade="A6"/>
              <w:left w:val="single" w:sz="4" w:space="0" w:color="A6A6A6" w:themeColor="background1" w:themeShade="A6"/>
              <w:bottom w:val="single" w:sz="18" w:space="0" w:color="A6A6A6" w:themeColor="background1" w:themeShade="A6"/>
              <w:right w:val="single" w:sz="18" w:space="0" w:color="A6A6A6" w:themeColor="background1" w:themeShade="A6"/>
            </w:tcBorders>
          </w:tcPr>
          <w:p w14:paraId="4C563D4F" w14:textId="5248454B" w:rsidR="00C06C53" w:rsidRPr="00495494" w:rsidRDefault="00C06C53" w:rsidP="00E778AF">
            <w:pPr>
              <w:rPr>
                <w:rFonts w:ascii="Arial" w:hAnsi="Arial" w:cs="Arial"/>
                <w:sz w:val="18"/>
                <w:szCs w:val="18"/>
              </w:rPr>
            </w:pPr>
            <w:r w:rsidRPr="00A06504">
              <w:rPr>
                <w:rFonts w:ascii="Arial" w:hAnsi="Arial" w:cs="Arial"/>
                <w:sz w:val="18"/>
                <w:szCs w:val="18"/>
              </w:rPr>
              <w:t xml:space="preserve">A single </w:t>
            </w:r>
            <w:r w:rsidR="00B412F6">
              <w:rPr>
                <w:rFonts w:ascii="Arial" w:hAnsi="Arial" w:cs="Arial"/>
                <w:sz w:val="18"/>
                <w:szCs w:val="18"/>
              </w:rPr>
              <w:t>fee</w:t>
            </w:r>
            <w:r w:rsidRPr="00A06504">
              <w:rPr>
                <w:rFonts w:ascii="Arial" w:hAnsi="Arial" w:cs="Arial"/>
                <w:sz w:val="18"/>
                <w:szCs w:val="18"/>
              </w:rPr>
              <w:t xml:space="preserve"> </w:t>
            </w:r>
            <w:r w:rsidR="00B412F6">
              <w:rPr>
                <w:rFonts w:ascii="Arial" w:hAnsi="Arial" w:cs="Arial"/>
                <w:sz w:val="18"/>
                <w:szCs w:val="18"/>
              </w:rPr>
              <w:t xml:space="preserve">is paid </w:t>
            </w:r>
            <w:r w:rsidRPr="00A06504">
              <w:rPr>
                <w:rFonts w:ascii="Arial" w:hAnsi="Arial" w:cs="Arial"/>
                <w:sz w:val="18"/>
                <w:szCs w:val="18"/>
              </w:rPr>
              <w:t xml:space="preserve">to </w:t>
            </w:r>
            <w:r w:rsidR="007200CB">
              <w:rPr>
                <w:rFonts w:ascii="Arial" w:hAnsi="Arial" w:cs="Arial"/>
                <w:sz w:val="18"/>
                <w:szCs w:val="18"/>
              </w:rPr>
              <w:t>M</w:t>
            </w:r>
            <w:r w:rsidR="00440824">
              <w:rPr>
                <w:rFonts w:ascii="Arial" w:hAnsi="Arial" w:cs="Arial"/>
                <w:sz w:val="18"/>
                <w:szCs w:val="18"/>
              </w:rPr>
              <w:t>CE</w:t>
            </w:r>
            <w:r w:rsidR="00E778AF">
              <w:rPr>
                <w:rFonts w:ascii="Arial" w:hAnsi="Arial" w:cs="Arial"/>
                <w:sz w:val="18"/>
                <w:szCs w:val="18"/>
              </w:rPr>
              <w:t>s and</w:t>
            </w:r>
            <w:r w:rsidR="002D644E">
              <w:rPr>
                <w:rFonts w:ascii="Arial" w:hAnsi="Arial" w:cs="Arial"/>
                <w:sz w:val="18"/>
                <w:szCs w:val="18"/>
              </w:rPr>
              <w:t xml:space="preserve"> </w:t>
            </w:r>
            <w:r w:rsidR="00E778AF">
              <w:rPr>
                <w:rFonts w:ascii="Arial" w:hAnsi="Arial" w:cs="Arial"/>
                <w:sz w:val="18"/>
                <w:szCs w:val="18"/>
              </w:rPr>
              <w:t>/</w:t>
            </w:r>
            <w:r w:rsidR="002D644E">
              <w:rPr>
                <w:rFonts w:ascii="Arial" w:hAnsi="Arial" w:cs="Arial"/>
                <w:sz w:val="18"/>
                <w:szCs w:val="18"/>
              </w:rPr>
              <w:t xml:space="preserve"> </w:t>
            </w:r>
            <w:r w:rsidR="00E778AF">
              <w:rPr>
                <w:rFonts w:ascii="Arial" w:hAnsi="Arial" w:cs="Arial"/>
                <w:sz w:val="18"/>
                <w:szCs w:val="18"/>
              </w:rPr>
              <w:t>or providers</w:t>
            </w:r>
            <w:r w:rsidR="00BA001F">
              <w:rPr>
                <w:rFonts w:ascii="Arial" w:hAnsi="Arial" w:cs="Arial"/>
                <w:sz w:val="18"/>
                <w:szCs w:val="18"/>
              </w:rPr>
              <w:t xml:space="preserve"> </w:t>
            </w:r>
            <w:r w:rsidRPr="00A06504">
              <w:rPr>
                <w:rFonts w:ascii="Arial" w:hAnsi="Arial" w:cs="Arial"/>
                <w:sz w:val="18"/>
                <w:szCs w:val="18"/>
              </w:rPr>
              <w:t>for all services related to a specific</w:t>
            </w:r>
            <w:r w:rsidR="000316FF">
              <w:rPr>
                <w:rFonts w:ascii="Arial" w:hAnsi="Arial" w:cs="Arial"/>
                <w:sz w:val="18"/>
                <w:szCs w:val="18"/>
              </w:rPr>
              <w:t xml:space="preserve"> condition or</w:t>
            </w:r>
            <w:r w:rsidRPr="00A06504">
              <w:rPr>
                <w:rFonts w:ascii="Arial" w:hAnsi="Arial" w:cs="Arial"/>
                <w:sz w:val="18"/>
                <w:szCs w:val="18"/>
              </w:rPr>
              <w:t xml:space="preserve"> procedure</w:t>
            </w:r>
            <w:r w:rsidR="000316FF">
              <w:rPr>
                <w:rFonts w:ascii="Arial" w:hAnsi="Arial" w:cs="Arial"/>
                <w:sz w:val="18"/>
                <w:szCs w:val="18"/>
              </w:rPr>
              <w:t xml:space="preserve">. </w:t>
            </w:r>
            <w:r w:rsidRPr="00A06504">
              <w:rPr>
                <w:rFonts w:ascii="Arial" w:hAnsi="Arial" w:cs="Arial"/>
                <w:sz w:val="18"/>
                <w:szCs w:val="18"/>
              </w:rPr>
              <w:t>The payment is designed to improve value and outcomes by using quality metrics for provider accountability. Providers assume financial risk for the cost of services for a particular</w:t>
            </w:r>
            <w:r w:rsidR="00BF22DA">
              <w:rPr>
                <w:rFonts w:ascii="Arial" w:hAnsi="Arial" w:cs="Arial"/>
                <w:sz w:val="18"/>
                <w:szCs w:val="18"/>
              </w:rPr>
              <w:t xml:space="preserve"> course of treatment</w:t>
            </w:r>
            <w:r w:rsidRPr="00A06504">
              <w:rPr>
                <w:rFonts w:ascii="Arial" w:hAnsi="Arial" w:cs="Arial"/>
                <w:sz w:val="18"/>
                <w:szCs w:val="18"/>
              </w:rPr>
              <w:t>, as well as costs associated with preventable complications.</w:t>
            </w:r>
          </w:p>
        </w:tc>
      </w:tr>
      <w:tr w:rsidR="00C06C53" w:rsidRPr="00495494" w14:paraId="5153DC49" w14:textId="77777777" w:rsidTr="003042AF">
        <w:trPr>
          <w:trHeight w:val="714"/>
        </w:trPr>
        <w:tc>
          <w:tcPr>
            <w:tcW w:w="902" w:type="dxa"/>
            <w:vMerge/>
            <w:tcBorders>
              <w:left w:val="single" w:sz="18" w:space="0" w:color="A6A6A6" w:themeColor="background1" w:themeShade="A6"/>
              <w:right w:val="single" w:sz="4" w:space="0" w:color="A6A6A6" w:themeColor="background1" w:themeShade="A6"/>
            </w:tcBorders>
          </w:tcPr>
          <w:p w14:paraId="3B938DD2" w14:textId="77777777" w:rsidR="00C06C53" w:rsidRPr="00495494" w:rsidRDefault="00C06C53" w:rsidP="00606BEB">
            <w:pPr>
              <w:rPr>
                <w:rFonts w:ascii="Arial" w:hAnsi="Arial" w:cs="Arial"/>
                <w:sz w:val="18"/>
                <w:szCs w:val="18"/>
              </w:rPr>
            </w:pPr>
          </w:p>
        </w:tc>
        <w:tc>
          <w:tcPr>
            <w:tcW w:w="2158"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4" w:space="0" w:color="A6A6A6" w:themeColor="background1" w:themeShade="A6"/>
            </w:tcBorders>
          </w:tcPr>
          <w:p w14:paraId="26B49253" w14:textId="447E3BE2" w:rsidR="00C06C53" w:rsidRPr="000B602B" w:rsidRDefault="00C06C53" w:rsidP="003042AF">
            <w:pPr>
              <w:spacing w:after="120" w:line="240" w:lineRule="auto"/>
              <w:jc w:val="center"/>
              <w:rPr>
                <w:rFonts w:ascii="Arial" w:hAnsi="Arial" w:cs="Arial"/>
                <w:b/>
                <w:sz w:val="18"/>
                <w:szCs w:val="18"/>
              </w:rPr>
            </w:pPr>
            <w:r w:rsidRPr="000B602B">
              <w:rPr>
                <w:rFonts w:ascii="Arial" w:hAnsi="Arial" w:cs="Arial"/>
                <w:b/>
                <w:sz w:val="18"/>
                <w:szCs w:val="18"/>
              </w:rPr>
              <w:t>Shared Savings</w:t>
            </w:r>
            <w:r>
              <w:rPr>
                <w:rFonts w:ascii="Arial" w:hAnsi="Arial" w:cs="Arial"/>
                <w:b/>
                <w:sz w:val="18"/>
                <w:szCs w:val="18"/>
              </w:rPr>
              <w:t xml:space="preserve"> </w:t>
            </w:r>
            <w:r w:rsidR="003042AF">
              <w:rPr>
                <w:rFonts w:ascii="Arial" w:hAnsi="Arial" w:cs="Arial"/>
                <w:b/>
                <w:sz w:val="18"/>
                <w:szCs w:val="18"/>
              </w:rPr>
              <w:t xml:space="preserve">               </w:t>
            </w:r>
            <w:r>
              <w:rPr>
                <w:rFonts w:ascii="Arial" w:hAnsi="Arial" w:cs="Arial"/>
                <w:b/>
                <w:sz w:val="18"/>
                <w:szCs w:val="18"/>
              </w:rPr>
              <w:t>(Gain Sharing)</w:t>
            </w:r>
          </w:p>
        </w:tc>
        <w:tc>
          <w:tcPr>
            <w:tcW w:w="6303" w:type="dxa"/>
            <w:gridSpan w:val="2"/>
            <w:tcBorders>
              <w:top w:val="single" w:sz="18" w:space="0" w:color="A6A6A6" w:themeColor="background1" w:themeShade="A6"/>
              <w:left w:val="single" w:sz="4" w:space="0" w:color="A6A6A6" w:themeColor="background1" w:themeShade="A6"/>
              <w:bottom w:val="single" w:sz="18" w:space="0" w:color="A6A6A6" w:themeColor="background1" w:themeShade="A6"/>
              <w:right w:val="single" w:sz="18" w:space="0" w:color="A6A6A6" w:themeColor="background1" w:themeShade="A6"/>
            </w:tcBorders>
          </w:tcPr>
          <w:p w14:paraId="785E363E" w14:textId="3DDFBA32" w:rsidR="00C06C53" w:rsidRPr="00495494" w:rsidRDefault="007200CB" w:rsidP="00606BEB">
            <w:pPr>
              <w:rPr>
                <w:rFonts w:ascii="Arial" w:hAnsi="Arial" w:cs="Arial"/>
                <w:sz w:val="18"/>
                <w:szCs w:val="18"/>
              </w:rPr>
            </w:pPr>
            <w:r>
              <w:rPr>
                <w:rFonts w:ascii="Arial" w:hAnsi="Arial" w:cs="Arial"/>
                <w:sz w:val="18"/>
                <w:szCs w:val="18"/>
              </w:rPr>
              <w:t>M</w:t>
            </w:r>
            <w:r w:rsidR="00440824">
              <w:rPr>
                <w:rFonts w:ascii="Arial" w:hAnsi="Arial" w:cs="Arial"/>
                <w:sz w:val="18"/>
                <w:szCs w:val="18"/>
              </w:rPr>
              <w:t>CE</w:t>
            </w:r>
            <w:r w:rsidR="00B412F6">
              <w:rPr>
                <w:rFonts w:ascii="Arial" w:hAnsi="Arial" w:cs="Arial"/>
                <w:sz w:val="18"/>
                <w:szCs w:val="18"/>
              </w:rPr>
              <w:t>s</w:t>
            </w:r>
            <w:r w:rsidR="00C06C53">
              <w:rPr>
                <w:rFonts w:ascii="Arial" w:hAnsi="Arial" w:cs="Arial"/>
                <w:sz w:val="18"/>
                <w:szCs w:val="18"/>
              </w:rPr>
              <w:t xml:space="preserve"> and</w:t>
            </w:r>
            <w:r w:rsidR="00564A12">
              <w:rPr>
                <w:rFonts w:ascii="Arial" w:hAnsi="Arial" w:cs="Arial"/>
                <w:sz w:val="18"/>
                <w:szCs w:val="18"/>
              </w:rPr>
              <w:t xml:space="preserve"> </w:t>
            </w:r>
            <w:r w:rsidR="00C06C53">
              <w:rPr>
                <w:rFonts w:ascii="Arial" w:hAnsi="Arial" w:cs="Arial"/>
                <w:sz w:val="18"/>
                <w:szCs w:val="18"/>
              </w:rPr>
              <w:t>/</w:t>
            </w:r>
            <w:r w:rsidR="00564A12">
              <w:rPr>
                <w:rFonts w:ascii="Arial" w:hAnsi="Arial" w:cs="Arial"/>
                <w:sz w:val="18"/>
                <w:szCs w:val="18"/>
              </w:rPr>
              <w:t xml:space="preserve"> </w:t>
            </w:r>
            <w:r w:rsidR="00C06C53">
              <w:rPr>
                <w:rFonts w:ascii="Arial" w:hAnsi="Arial" w:cs="Arial"/>
                <w:sz w:val="18"/>
                <w:szCs w:val="18"/>
              </w:rPr>
              <w:t>or p</w:t>
            </w:r>
            <w:r w:rsidR="00C06C53" w:rsidRPr="00A06504">
              <w:rPr>
                <w:rFonts w:ascii="Arial" w:hAnsi="Arial" w:cs="Arial"/>
                <w:sz w:val="18"/>
                <w:szCs w:val="18"/>
              </w:rPr>
              <w:t xml:space="preserve">roviders that succeed in keeping costs </w:t>
            </w:r>
            <w:r w:rsidR="00B412F6">
              <w:rPr>
                <w:rFonts w:ascii="Arial" w:hAnsi="Arial" w:cs="Arial"/>
                <w:sz w:val="18"/>
                <w:szCs w:val="18"/>
              </w:rPr>
              <w:t xml:space="preserve">for a defined population </w:t>
            </w:r>
            <w:r w:rsidR="00C06C53" w:rsidRPr="00A06504">
              <w:rPr>
                <w:rFonts w:ascii="Arial" w:hAnsi="Arial" w:cs="Arial"/>
                <w:sz w:val="18"/>
                <w:szCs w:val="18"/>
              </w:rPr>
              <w:t>below a total cost of care benchmark and achieve quality of care results at or above a benchmark keep a percentage of the savings.</w:t>
            </w:r>
          </w:p>
        </w:tc>
      </w:tr>
      <w:tr w:rsidR="00C06C53" w:rsidRPr="00495494" w14:paraId="63B8CD7F" w14:textId="77777777" w:rsidTr="003042AF">
        <w:trPr>
          <w:trHeight w:val="414"/>
        </w:trPr>
        <w:tc>
          <w:tcPr>
            <w:tcW w:w="902" w:type="dxa"/>
            <w:vMerge/>
            <w:tcBorders>
              <w:left w:val="single" w:sz="18" w:space="0" w:color="A6A6A6" w:themeColor="background1" w:themeShade="A6"/>
              <w:bottom w:val="single" w:sz="18" w:space="0" w:color="A6A6A6" w:themeColor="background1" w:themeShade="A6"/>
              <w:right w:val="single" w:sz="4" w:space="0" w:color="A6A6A6" w:themeColor="background1" w:themeShade="A6"/>
            </w:tcBorders>
          </w:tcPr>
          <w:p w14:paraId="1936CECA" w14:textId="77777777" w:rsidR="00C06C53" w:rsidRPr="00495494" w:rsidRDefault="00C06C53" w:rsidP="00606BEB">
            <w:pPr>
              <w:rPr>
                <w:rFonts w:ascii="Arial" w:hAnsi="Arial" w:cs="Arial"/>
                <w:sz w:val="18"/>
                <w:szCs w:val="18"/>
              </w:rPr>
            </w:pPr>
          </w:p>
        </w:tc>
        <w:tc>
          <w:tcPr>
            <w:tcW w:w="2158"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4" w:space="0" w:color="A6A6A6" w:themeColor="background1" w:themeShade="A6"/>
            </w:tcBorders>
          </w:tcPr>
          <w:p w14:paraId="66A7CEEE" w14:textId="69D073BC" w:rsidR="00C06C53" w:rsidRPr="000B602B" w:rsidRDefault="00C06C53" w:rsidP="003042AF">
            <w:pPr>
              <w:jc w:val="center"/>
              <w:rPr>
                <w:rFonts w:ascii="Arial" w:hAnsi="Arial" w:cs="Arial"/>
                <w:b/>
                <w:sz w:val="18"/>
                <w:szCs w:val="18"/>
              </w:rPr>
            </w:pPr>
            <w:r>
              <w:rPr>
                <w:rFonts w:ascii="Arial" w:hAnsi="Arial" w:cs="Arial"/>
                <w:b/>
                <w:sz w:val="18"/>
                <w:szCs w:val="18"/>
              </w:rPr>
              <w:t xml:space="preserve">Shared Risk </w:t>
            </w:r>
            <w:r w:rsidR="003042AF">
              <w:rPr>
                <w:rFonts w:ascii="Arial" w:hAnsi="Arial" w:cs="Arial"/>
                <w:b/>
                <w:sz w:val="18"/>
                <w:szCs w:val="18"/>
              </w:rPr>
              <w:t xml:space="preserve">          </w:t>
            </w:r>
            <w:r>
              <w:rPr>
                <w:rFonts w:ascii="Arial" w:hAnsi="Arial" w:cs="Arial"/>
                <w:b/>
                <w:sz w:val="18"/>
                <w:szCs w:val="18"/>
              </w:rPr>
              <w:t>(Risk Sharing)</w:t>
            </w:r>
          </w:p>
        </w:tc>
        <w:tc>
          <w:tcPr>
            <w:tcW w:w="6303" w:type="dxa"/>
            <w:gridSpan w:val="2"/>
            <w:tcBorders>
              <w:top w:val="single" w:sz="18" w:space="0" w:color="A6A6A6" w:themeColor="background1" w:themeShade="A6"/>
              <w:left w:val="single" w:sz="4" w:space="0" w:color="A6A6A6" w:themeColor="background1" w:themeShade="A6"/>
              <w:bottom w:val="single" w:sz="18" w:space="0" w:color="A6A6A6" w:themeColor="background1" w:themeShade="A6"/>
              <w:right w:val="single" w:sz="18" w:space="0" w:color="A6A6A6" w:themeColor="background1" w:themeShade="A6"/>
            </w:tcBorders>
          </w:tcPr>
          <w:p w14:paraId="4EBA7F77" w14:textId="7ACA1912" w:rsidR="00C06C53" w:rsidRPr="00495494" w:rsidRDefault="00C06C53" w:rsidP="00606BEB">
            <w:pPr>
              <w:rPr>
                <w:rFonts w:ascii="Arial" w:hAnsi="Arial" w:cs="Arial"/>
                <w:sz w:val="18"/>
                <w:szCs w:val="18"/>
              </w:rPr>
            </w:pPr>
            <w:r>
              <w:rPr>
                <w:rFonts w:ascii="Arial" w:hAnsi="Arial" w:cs="Arial"/>
                <w:sz w:val="18"/>
                <w:szCs w:val="18"/>
              </w:rPr>
              <w:t xml:space="preserve">If actual costs for a defined population exceed a benchmark, then the </w:t>
            </w:r>
            <w:r w:rsidR="007200CB">
              <w:rPr>
                <w:rFonts w:ascii="Arial" w:hAnsi="Arial" w:cs="Arial"/>
                <w:sz w:val="18"/>
                <w:szCs w:val="18"/>
              </w:rPr>
              <w:t>M</w:t>
            </w:r>
            <w:r w:rsidR="00440824">
              <w:rPr>
                <w:rFonts w:ascii="Arial" w:hAnsi="Arial" w:cs="Arial"/>
                <w:sz w:val="18"/>
                <w:szCs w:val="18"/>
              </w:rPr>
              <w:t>CE</w:t>
            </w:r>
            <w:r>
              <w:rPr>
                <w:rFonts w:ascii="Arial" w:hAnsi="Arial" w:cs="Arial"/>
                <w:sz w:val="18"/>
                <w:szCs w:val="18"/>
              </w:rPr>
              <w:t xml:space="preserve"> and</w:t>
            </w:r>
            <w:r w:rsidR="00564A12">
              <w:rPr>
                <w:rFonts w:ascii="Arial" w:hAnsi="Arial" w:cs="Arial"/>
                <w:sz w:val="18"/>
                <w:szCs w:val="18"/>
              </w:rPr>
              <w:t xml:space="preserve"> </w:t>
            </w:r>
            <w:r>
              <w:rPr>
                <w:rFonts w:ascii="Arial" w:hAnsi="Arial" w:cs="Arial"/>
                <w:sz w:val="18"/>
                <w:szCs w:val="18"/>
              </w:rPr>
              <w:t>/</w:t>
            </w:r>
            <w:r w:rsidR="00564A12">
              <w:rPr>
                <w:rFonts w:ascii="Arial" w:hAnsi="Arial" w:cs="Arial"/>
                <w:sz w:val="18"/>
                <w:szCs w:val="18"/>
              </w:rPr>
              <w:t xml:space="preserve"> </w:t>
            </w:r>
            <w:r>
              <w:rPr>
                <w:rFonts w:ascii="Arial" w:hAnsi="Arial" w:cs="Arial"/>
                <w:sz w:val="18"/>
                <w:szCs w:val="18"/>
              </w:rPr>
              <w:t xml:space="preserve">or provider is accountable for a portion of the excess costs and must repay the Medicaid agency. Shared risk is often paired with shared savings arrangements after some </w:t>
            </w:r>
            <w:r w:rsidR="000316FF">
              <w:rPr>
                <w:rFonts w:ascii="Arial" w:hAnsi="Arial" w:cs="Arial"/>
                <w:sz w:val="18"/>
                <w:szCs w:val="18"/>
              </w:rPr>
              <w:t xml:space="preserve">degree of program </w:t>
            </w:r>
            <w:r>
              <w:rPr>
                <w:rFonts w:ascii="Arial" w:hAnsi="Arial" w:cs="Arial"/>
                <w:sz w:val="18"/>
                <w:szCs w:val="18"/>
              </w:rPr>
              <w:t>experience has been established.</w:t>
            </w:r>
          </w:p>
        </w:tc>
      </w:tr>
      <w:tr w:rsidR="00C06C53" w:rsidRPr="00495494" w14:paraId="4DA9BBE2" w14:textId="77777777" w:rsidTr="003042AF">
        <w:trPr>
          <w:trHeight w:val="1620"/>
        </w:trPr>
        <w:tc>
          <w:tcPr>
            <w:tcW w:w="902" w:type="dxa"/>
            <w:vMerge/>
            <w:tcBorders>
              <w:left w:val="single" w:sz="18" w:space="0" w:color="A6A6A6" w:themeColor="background1" w:themeShade="A6"/>
              <w:bottom w:val="single" w:sz="18" w:space="0" w:color="A6A6A6" w:themeColor="background1" w:themeShade="A6"/>
              <w:right w:val="single" w:sz="4" w:space="0" w:color="A6A6A6" w:themeColor="background1" w:themeShade="A6"/>
            </w:tcBorders>
          </w:tcPr>
          <w:p w14:paraId="43B0761A" w14:textId="77777777" w:rsidR="00C06C53" w:rsidRPr="00495494" w:rsidRDefault="00C06C53" w:rsidP="00606BEB">
            <w:pPr>
              <w:rPr>
                <w:rFonts w:ascii="Arial" w:hAnsi="Arial" w:cs="Arial"/>
                <w:sz w:val="18"/>
                <w:szCs w:val="18"/>
              </w:rPr>
            </w:pPr>
          </w:p>
        </w:tc>
        <w:tc>
          <w:tcPr>
            <w:tcW w:w="2158"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4" w:space="0" w:color="A6A6A6" w:themeColor="background1" w:themeShade="A6"/>
            </w:tcBorders>
          </w:tcPr>
          <w:p w14:paraId="63AF8BAD" w14:textId="77777777" w:rsidR="00C06C53" w:rsidRPr="000B602B" w:rsidRDefault="00C06C53" w:rsidP="00606BEB">
            <w:pPr>
              <w:jc w:val="center"/>
              <w:rPr>
                <w:rFonts w:ascii="Arial" w:hAnsi="Arial" w:cs="Arial"/>
                <w:b/>
                <w:sz w:val="18"/>
                <w:szCs w:val="18"/>
              </w:rPr>
            </w:pPr>
            <w:r w:rsidRPr="000B602B">
              <w:rPr>
                <w:rFonts w:ascii="Arial" w:hAnsi="Arial" w:cs="Arial"/>
                <w:b/>
                <w:sz w:val="18"/>
                <w:szCs w:val="18"/>
              </w:rPr>
              <w:t>Population-based Payments</w:t>
            </w:r>
          </w:p>
        </w:tc>
        <w:tc>
          <w:tcPr>
            <w:tcW w:w="6303" w:type="dxa"/>
            <w:gridSpan w:val="2"/>
            <w:tcBorders>
              <w:top w:val="single" w:sz="18" w:space="0" w:color="A6A6A6" w:themeColor="background1" w:themeShade="A6"/>
              <w:left w:val="single" w:sz="4" w:space="0" w:color="A6A6A6" w:themeColor="background1" w:themeShade="A6"/>
              <w:bottom w:val="single" w:sz="18" w:space="0" w:color="A6A6A6" w:themeColor="background1" w:themeShade="A6"/>
              <w:right w:val="single" w:sz="18" w:space="0" w:color="A6A6A6" w:themeColor="background1" w:themeShade="A6"/>
            </w:tcBorders>
          </w:tcPr>
          <w:p w14:paraId="608E4995" w14:textId="46D0CB7D" w:rsidR="00C06C53" w:rsidRPr="00495494" w:rsidRDefault="007200CB" w:rsidP="009A7307">
            <w:pPr>
              <w:rPr>
                <w:rFonts w:ascii="Arial" w:hAnsi="Arial" w:cs="Arial"/>
                <w:sz w:val="18"/>
                <w:szCs w:val="18"/>
              </w:rPr>
            </w:pPr>
            <w:r>
              <w:rPr>
                <w:rFonts w:ascii="Arial" w:hAnsi="Arial" w:cs="Arial"/>
                <w:sz w:val="18"/>
                <w:szCs w:val="18"/>
              </w:rPr>
              <w:t>M</w:t>
            </w:r>
            <w:r w:rsidR="00440824">
              <w:rPr>
                <w:rFonts w:ascii="Arial" w:hAnsi="Arial" w:cs="Arial"/>
                <w:sz w:val="18"/>
                <w:szCs w:val="18"/>
              </w:rPr>
              <w:t>CE</w:t>
            </w:r>
            <w:r w:rsidR="00B412F6">
              <w:rPr>
                <w:rFonts w:ascii="Arial" w:hAnsi="Arial" w:cs="Arial"/>
                <w:sz w:val="18"/>
                <w:szCs w:val="18"/>
              </w:rPr>
              <w:t xml:space="preserve"> or p</w:t>
            </w:r>
            <w:r w:rsidR="00C06C53" w:rsidRPr="00660050">
              <w:rPr>
                <w:rFonts w:ascii="Arial" w:hAnsi="Arial" w:cs="Arial"/>
                <w:sz w:val="18"/>
                <w:szCs w:val="18"/>
              </w:rPr>
              <w:t>rovider entity agrees to</w:t>
            </w:r>
            <w:r w:rsidR="00C06C53">
              <w:rPr>
                <w:rFonts w:ascii="Arial" w:hAnsi="Arial" w:cs="Arial"/>
                <w:sz w:val="18"/>
                <w:szCs w:val="18"/>
              </w:rPr>
              <w:t xml:space="preserve"> </w:t>
            </w:r>
            <w:r w:rsidR="00C06C53" w:rsidRPr="00660050">
              <w:rPr>
                <w:rFonts w:ascii="Arial" w:hAnsi="Arial" w:cs="Arial"/>
                <w:sz w:val="18"/>
                <w:szCs w:val="18"/>
              </w:rPr>
              <w:t>accept responsibility for the health of a</w:t>
            </w:r>
            <w:r w:rsidR="00C06C53">
              <w:rPr>
                <w:rFonts w:ascii="Arial" w:hAnsi="Arial" w:cs="Arial"/>
                <w:sz w:val="18"/>
                <w:szCs w:val="18"/>
              </w:rPr>
              <w:t xml:space="preserve"> </w:t>
            </w:r>
            <w:r w:rsidR="00C06C53" w:rsidRPr="00660050">
              <w:rPr>
                <w:rFonts w:ascii="Arial" w:hAnsi="Arial" w:cs="Arial"/>
                <w:sz w:val="18"/>
                <w:szCs w:val="18"/>
              </w:rPr>
              <w:t>group of patients in exchange for a set</w:t>
            </w:r>
            <w:r w:rsidR="00C06C53">
              <w:rPr>
                <w:rFonts w:ascii="Arial" w:hAnsi="Arial" w:cs="Arial"/>
                <w:sz w:val="18"/>
                <w:szCs w:val="18"/>
              </w:rPr>
              <w:t xml:space="preserve"> </w:t>
            </w:r>
            <w:r w:rsidR="00C06C53" w:rsidRPr="00660050">
              <w:rPr>
                <w:rFonts w:ascii="Arial" w:hAnsi="Arial" w:cs="Arial"/>
                <w:sz w:val="18"/>
                <w:szCs w:val="18"/>
              </w:rPr>
              <w:t xml:space="preserve">amount of </w:t>
            </w:r>
            <w:r w:rsidR="009A7307">
              <w:rPr>
                <w:rFonts w:ascii="Arial" w:hAnsi="Arial" w:cs="Arial"/>
                <w:sz w:val="18"/>
                <w:szCs w:val="18"/>
              </w:rPr>
              <w:t>funding</w:t>
            </w:r>
            <w:r w:rsidR="00C06C53" w:rsidRPr="00660050">
              <w:rPr>
                <w:rFonts w:ascii="Arial" w:hAnsi="Arial" w:cs="Arial"/>
                <w:sz w:val="18"/>
                <w:szCs w:val="18"/>
              </w:rPr>
              <w:t>. If the</w:t>
            </w:r>
            <w:r>
              <w:rPr>
                <w:rFonts w:ascii="Arial" w:hAnsi="Arial" w:cs="Arial"/>
                <w:sz w:val="18"/>
                <w:szCs w:val="18"/>
              </w:rPr>
              <w:t xml:space="preserve"> M</w:t>
            </w:r>
            <w:r w:rsidR="00440824">
              <w:rPr>
                <w:rFonts w:ascii="Arial" w:hAnsi="Arial" w:cs="Arial"/>
                <w:sz w:val="18"/>
                <w:szCs w:val="18"/>
              </w:rPr>
              <w:t>CE</w:t>
            </w:r>
            <w:r w:rsidR="00B412F6">
              <w:rPr>
                <w:rFonts w:ascii="Arial" w:hAnsi="Arial" w:cs="Arial"/>
                <w:sz w:val="18"/>
                <w:szCs w:val="18"/>
              </w:rPr>
              <w:t xml:space="preserve"> or</w:t>
            </w:r>
            <w:r w:rsidR="00C06C53" w:rsidRPr="00660050">
              <w:rPr>
                <w:rFonts w:ascii="Arial" w:hAnsi="Arial" w:cs="Arial"/>
                <w:sz w:val="18"/>
                <w:szCs w:val="18"/>
              </w:rPr>
              <w:t xml:space="preserve"> provider effectively</w:t>
            </w:r>
            <w:r w:rsidR="00C06C53">
              <w:rPr>
                <w:rFonts w:ascii="Arial" w:hAnsi="Arial" w:cs="Arial"/>
                <w:sz w:val="18"/>
                <w:szCs w:val="18"/>
              </w:rPr>
              <w:t xml:space="preserve"> </w:t>
            </w:r>
            <w:r w:rsidR="00C06C53" w:rsidRPr="00660050">
              <w:rPr>
                <w:rFonts w:ascii="Arial" w:hAnsi="Arial" w:cs="Arial"/>
                <w:sz w:val="18"/>
                <w:szCs w:val="18"/>
              </w:rPr>
              <w:t xml:space="preserve">manages cost and performs well on </w:t>
            </w:r>
            <w:r w:rsidR="00C06C53">
              <w:rPr>
                <w:rFonts w:ascii="Arial" w:hAnsi="Arial" w:cs="Arial"/>
                <w:sz w:val="18"/>
                <w:szCs w:val="18"/>
              </w:rPr>
              <w:t xml:space="preserve">health care </w:t>
            </w:r>
            <w:r w:rsidR="00C06C53" w:rsidRPr="00660050">
              <w:rPr>
                <w:rFonts w:ascii="Arial" w:hAnsi="Arial" w:cs="Arial"/>
                <w:sz w:val="18"/>
                <w:szCs w:val="18"/>
              </w:rPr>
              <w:t xml:space="preserve">targets, then the </w:t>
            </w:r>
            <w:r>
              <w:rPr>
                <w:rFonts w:ascii="Arial" w:hAnsi="Arial" w:cs="Arial"/>
                <w:sz w:val="18"/>
                <w:szCs w:val="18"/>
              </w:rPr>
              <w:t>M</w:t>
            </w:r>
            <w:r w:rsidR="00440824">
              <w:rPr>
                <w:rFonts w:ascii="Arial" w:hAnsi="Arial" w:cs="Arial"/>
                <w:sz w:val="18"/>
                <w:szCs w:val="18"/>
              </w:rPr>
              <w:t>CE</w:t>
            </w:r>
            <w:r w:rsidR="00B412F6">
              <w:rPr>
                <w:rFonts w:ascii="Arial" w:hAnsi="Arial" w:cs="Arial"/>
                <w:sz w:val="18"/>
                <w:szCs w:val="18"/>
              </w:rPr>
              <w:t xml:space="preserve"> or </w:t>
            </w:r>
            <w:r w:rsidR="00C06C53" w:rsidRPr="00660050">
              <w:rPr>
                <w:rFonts w:ascii="Arial" w:hAnsi="Arial" w:cs="Arial"/>
                <w:sz w:val="18"/>
                <w:szCs w:val="18"/>
              </w:rPr>
              <w:t>provider may</w:t>
            </w:r>
            <w:r w:rsidR="00C06C53">
              <w:rPr>
                <w:rFonts w:ascii="Arial" w:hAnsi="Arial" w:cs="Arial"/>
                <w:sz w:val="18"/>
                <w:szCs w:val="18"/>
              </w:rPr>
              <w:t xml:space="preserve"> </w:t>
            </w:r>
            <w:r w:rsidR="00C06C53" w:rsidRPr="00660050">
              <w:rPr>
                <w:rFonts w:ascii="Arial" w:hAnsi="Arial" w:cs="Arial"/>
                <w:sz w:val="18"/>
                <w:szCs w:val="18"/>
              </w:rPr>
              <w:t>keep a portion of the savings generated.</w:t>
            </w:r>
            <w:r w:rsidR="00C06C53">
              <w:rPr>
                <w:rFonts w:ascii="Arial" w:hAnsi="Arial" w:cs="Arial"/>
                <w:sz w:val="18"/>
                <w:szCs w:val="18"/>
              </w:rPr>
              <w:t xml:space="preserve"> I</w:t>
            </w:r>
            <w:r w:rsidR="00C06C53" w:rsidRPr="00660050">
              <w:rPr>
                <w:rFonts w:ascii="Arial" w:hAnsi="Arial" w:cs="Arial"/>
                <w:sz w:val="18"/>
                <w:szCs w:val="18"/>
              </w:rPr>
              <w:t xml:space="preserve">f the </w:t>
            </w:r>
            <w:r>
              <w:rPr>
                <w:rFonts w:ascii="Arial" w:hAnsi="Arial" w:cs="Arial"/>
                <w:sz w:val="18"/>
                <w:szCs w:val="18"/>
              </w:rPr>
              <w:t>M</w:t>
            </w:r>
            <w:r w:rsidR="00440824">
              <w:rPr>
                <w:rFonts w:ascii="Arial" w:hAnsi="Arial" w:cs="Arial"/>
                <w:sz w:val="18"/>
                <w:szCs w:val="18"/>
              </w:rPr>
              <w:t>CE</w:t>
            </w:r>
            <w:r w:rsidR="00B412F6">
              <w:rPr>
                <w:rFonts w:ascii="Arial" w:hAnsi="Arial" w:cs="Arial"/>
                <w:sz w:val="18"/>
                <w:szCs w:val="18"/>
              </w:rPr>
              <w:t xml:space="preserve"> or </w:t>
            </w:r>
            <w:r w:rsidR="00C06C53" w:rsidRPr="00660050">
              <w:rPr>
                <w:rFonts w:ascii="Arial" w:hAnsi="Arial" w:cs="Arial"/>
                <w:sz w:val="18"/>
                <w:szCs w:val="18"/>
              </w:rPr>
              <w:t xml:space="preserve">provider </w:t>
            </w:r>
            <w:r w:rsidR="00C06C53">
              <w:rPr>
                <w:rFonts w:ascii="Arial" w:hAnsi="Arial" w:cs="Arial"/>
                <w:sz w:val="18"/>
                <w:szCs w:val="18"/>
              </w:rPr>
              <w:t xml:space="preserve">fails to generate savings and meet targets, </w:t>
            </w:r>
            <w:r w:rsidR="00C06C53" w:rsidRPr="00660050">
              <w:rPr>
                <w:rFonts w:ascii="Arial" w:hAnsi="Arial" w:cs="Arial"/>
                <w:sz w:val="18"/>
                <w:szCs w:val="18"/>
              </w:rPr>
              <w:t xml:space="preserve">it </w:t>
            </w:r>
            <w:r w:rsidR="00C06C53">
              <w:rPr>
                <w:rFonts w:ascii="Arial" w:hAnsi="Arial" w:cs="Arial"/>
                <w:sz w:val="18"/>
                <w:szCs w:val="18"/>
              </w:rPr>
              <w:t xml:space="preserve">is </w:t>
            </w:r>
            <w:r w:rsidR="00C06C53" w:rsidRPr="00660050">
              <w:rPr>
                <w:rFonts w:ascii="Arial" w:hAnsi="Arial" w:cs="Arial"/>
                <w:sz w:val="18"/>
                <w:szCs w:val="18"/>
              </w:rPr>
              <w:t>held responsible for some of the additional</w:t>
            </w:r>
            <w:r w:rsidR="00C06C53">
              <w:rPr>
                <w:rFonts w:ascii="Arial" w:hAnsi="Arial" w:cs="Arial"/>
                <w:sz w:val="18"/>
                <w:szCs w:val="18"/>
              </w:rPr>
              <w:t xml:space="preserve"> </w:t>
            </w:r>
            <w:r w:rsidR="00C06C53" w:rsidRPr="00660050">
              <w:rPr>
                <w:rFonts w:ascii="Arial" w:hAnsi="Arial" w:cs="Arial"/>
                <w:sz w:val="18"/>
                <w:szCs w:val="18"/>
              </w:rPr>
              <w:t>costs incurred. Population-based</w:t>
            </w:r>
            <w:r w:rsidR="00C06C53">
              <w:rPr>
                <w:rFonts w:ascii="Arial" w:hAnsi="Arial" w:cs="Arial"/>
                <w:sz w:val="18"/>
                <w:szCs w:val="18"/>
              </w:rPr>
              <w:t xml:space="preserve"> </w:t>
            </w:r>
            <w:r w:rsidR="00C06C53" w:rsidRPr="00660050">
              <w:rPr>
                <w:rFonts w:ascii="Arial" w:hAnsi="Arial" w:cs="Arial"/>
                <w:sz w:val="18"/>
                <w:szCs w:val="18"/>
              </w:rPr>
              <w:t>payment is the underlying payment model</w:t>
            </w:r>
            <w:r w:rsidR="00C06C53">
              <w:rPr>
                <w:rFonts w:ascii="Arial" w:hAnsi="Arial" w:cs="Arial"/>
                <w:sz w:val="18"/>
                <w:szCs w:val="18"/>
              </w:rPr>
              <w:t xml:space="preserve"> </w:t>
            </w:r>
            <w:r w:rsidR="00C06C53" w:rsidRPr="00660050">
              <w:rPr>
                <w:rFonts w:ascii="Arial" w:hAnsi="Arial" w:cs="Arial"/>
                <w:sz w:val="18"/>
                <w:szCs w:val="18"/>
              </w:rPr>
              <w:t>used in Accountable Care Organizations.</w:t>
            </w:r>
          </w:p>
        </w:tc>
      </w:tr>
    </w:tbl>
    <w:p w14:paraId="0399B661" w14:textId="77777777" w:rsidR="00C06C53" w:rsidRDefault="00C06C53" w:rsidP="00836B86">
      <w:pPr>
        <w:pStyle w:val="BodyCambria10Black"/>
        <w:rPr>
          <w:rFonts w:asciiTheme="majorHAnsi" w:hAnsiTheme="majorHAnsi"/>
        </w:rPr>
      </w:pPr>
    </w:p>
    <w:p w14:paraId="1D28EC8C" w14:textId="77777777" w:rsidR="002824CE" w:rsidRDefault="002824CE" w:rsidP="00836B86">
      <w:pPr>
        <w:pStyle w:val="BodyCambria10Black"/>
        <w:rPr>
          <w:rFonts w:asciiTheme="majorHAnsi" w:hAnsiTheme="majorHAnsi"/>
          <w:b/>
          <w:szCs w:val="22"/>
          <w:u w:val="single"/>
        </w:rPr>
      </w:pPr>
    </w:p>
    <w:p w14:paraId="46077A38" w14:textId="77777777" w:rsidR="002824CE" w:rsidRDefault="002824CE" w:rsidP="00836B86">
      <w:pPr>
        <w:pStyle w:val="BodyCambria10Black"/>
        <w:rPr>
          <w:rFonts w:asciiTheme="majorHAnsi" w:hAnsiTheme="majorHAnsi"/>
          <w:b/>
          <w:szCs w:val="22"/>
          <w:u w:val="single"/>
        </w:rPr>
      </w:pPr>
    </w:p>
    <w:p w14:paraId="27E89B80" w14:textId="77777777" w:rsidR="002824CE" w:rsidRDefault="002824CE" w:rsidP="00836B86">
      <w:pPr>
        <w:pStyle w:val="BodyCambria10Black"/>
        <w:rPr>
          <w:rFonts w:asciiTheme="majorHAnsi" w:hAnsiTheme="majorHAnsi"/>
          <w:b/>
          <w:szCs w:val="22"/>
          <w:u w:val="single"/>
        </w:rPr>
      </w:pPr>
    </w:p>
    <w:p w14:paraId="3AF66295" w14:textId="5196FDFA" w:rsidR="00C06C53" w:rsidRPr="002824CE" w:rsidRDefault="000316FF" w:rsidP="00836B86">
      <w:pPr>
        <w:pStyle w:val="BodyCambria10Black"/>
        <w:rPr>
          <w:rFonts w:asciiTheme="minorHAnsi" w:hAnsiTheme="minorHAnsi" w:cstheme="minorHAnsi"/>
          <w:b/>
          <w:szCs w:val="22"/>
          <w:u w:val="single"/>
        </w:rPr>
      </w:pPr>
      <w:r w:rsidRPr="002824CE">
        <w:rPr>
          <w:rFonts w:asciiTheme="minorHAnsi" w:hAnsiTheme="minorHAnsi" w:cstheme="minorHAnsi"/>
          <w:b/>
          <w:szCs w:val="22"/>
          <w:u w:val="single"/>
        </w:rPr>
        <w:lastRenderedPageBreak/>
        <w:t xml:space="preserve">State </w:t>
      </w:r>
      <w:r w:rsidR="00C06C53" w:rsidRPr="002824CE">
        <w:rPr>
          <w:rFonts w:asciiTheme="minorHAnsi" w:hAnsiTheme="minorHAnsi" w:cstheme="minorHAnsi"/>
          <w:b/>
          <w:szCs w:val="22"/>
          <w:u w:val="single"/>
        </w:rPr>
        <w:t>Medicaid VBP Program Experience</w:t>
      </w:r>
      <w:r w:rsidR="00AC7800" w:rsidRPr="002824CE">
        <w:rPr>
          <w:rFonts w:asciiTheme="minorHAnsi" w:hAnsiTheme="minorHAnsi" w:cstheme="minorHAnsi"/>
          <w:b/>
          <w:szCs w:val="22"/>
          <w:u w:val="single"/>
        </w:rPr>
        <w:t>s</w:t>
      </w:r>
    </w:p>
    <w:p w14:paraId="1930C293" w14:textId="163DF936" w:rsidR="00836B86" w:rsidRPr="000544D8" w:rsidRDefault="00836B86" w:rsidP="003B5770">
      <w:pPr>
        <w:pStyle w:val="BodyCambria10Black"/>
        <w:ind w:firstLine="720"/>
        <w:rPr>
          <w:rFonts w:asciiTheme="minorHAnsi" w:hAnsiTheme="minorHAnsi" w:cstheme="minorHAnsi"/>
          <w:sz w:val="22"/>
          <w:szCs w:val="22"/>
        </w:rPr>
      </w:pPr>
      <w:r w:rsidRPr="000544D8">
        <w:rPr>
          <w:rFonts w:asciiTheme="minorHAnsi" w:hAnsiTheme="minorHAnsi" w:cstheme="minorHAnsi"/>
          <w:sz w:val="22"/>
          <w:szCs w:val="22"/>
        </w:rPr>
        <w:t xml:space="preserve">In a March 2016 survey, </w:t>
      </w:r>
      <w:r w:rsidR="00F4030D">
        <w:rPr>
          <w:rFonts w:asciiTheme="minorHAnsi" w:hAnsiTheme="minorHAnsi" w:cstheme="minorHAnsi"/>
          <w:sz w:val="22"/>
          <w:szCs w:val="22"/>
        </w:rPr>
        <w:t>the National Association of Medicaid Directors (</w:t>
      </w:r>
      <w:r w:rsidRPr="000544D8">
        <w:rPr>
          <w:rFonts w:asciiTheme="minorHAnsi" w:hAnsiTheme="minorHAnsi" w:cstheme="minorHAnsi"/>
          <w:sz w:val="22"/>
          <w:szCs w:val="22"/>
        </w:rPr>
        <w:t>NAMD</w:t>
      </w:r>
      <w:r w:rsidR="00F4030D">
        <w:rPr>
          <w:rFonts w:asciiTheme="minorHAnsi" w:hAnsiTheme="minorHAnsi" w:cstheme="minorHAnsi"/>
          <w:sz w:val="22"/>
          <w:szCs w:val="22"/>
        </w:rPr>
        <w:t>)</w:t>
      </w:r>
      <w:r w:rsidRPr="000544D8">
        <w:rPr>
          <w:rFonts w:asciiTheme="minorHAnsi" w:hAnsiTheme="minorHAnsi" w:cstheme="minorHAnsi"/>
          <w:sz w:val="22"/>
          <w:szCs w:val="22"/>
        </w:rPr>
        <w:t xml:space="preserve">, in collaboration with the Commonwealth Fund, reported that of the 34 states that participated in the survey, 28 had developed or were in the process of developing a VBP </w:t>
      </w:r>
      <w:r w:rsidR="00F43B54" w:rsidRPr="000544D8">
        <w:rPr>
          <w:rFonts w:asciiTheme="minorHAnsi" w:hAnsiTheme="minorHAnsi" w:cstheme="minorHAnsi"/>
          <w:sz w:val="22"/>
          <w:szCs w:val="22"/>
        </w:rPr>
        <w:t>approach</w:t>
      </w:r>
      <w:r w:rsidRPr="000544D8">
        <w:rPr>
          <w:rFonts w:asciiTheme="minorHAnsi" w:hAnsiTheme="minorHAnsi" w:cstheme="minorHAnsi"/>
          <w:sz w:val="22"/>
          <w:szCs w:val="22"/>
        </w:rPr>
        <w:t>.</w:t>
      </w:r>
      <w:r w:rsidR="000316FF" w:rsidRPr="000544D8">
        <w:rPr>
          <w:rStyle w:val="EndnoteReference"/>
          <w:rFonts w:asciiTheme="minorHAnsi" w:hAnsiTheme="minorHAnsi" w:cstheme="minorHAnsi"/>
          <w:sz w:val="22"/>
          <w:szCs w:val="22"/>
        </w:rPr>
        <w:endnoteReference w:id="4"/>
      </w:r>
      <w:r w:rsidRPr="000544D8">
        <w:rPr>
          <w:rFonts w:asciiTheme="minorHAnsi" w:hAnsiTheme="minorHAnsi" w:cstheme="minorHAnsi"/>
          <w:sz w:val="22"/>
          <w:szCs w:val="22"/>
        </w:rPr>
        <w:t xml:space="preserve"> </w:t>
      </w:r>
    </w:p>
    <w:p w14:paraId="7EA55013" w14:textId="2C7C9501" w:rsidR="00C06C53" w:rsidRPr="000544D8" w:rsidRDefault="00C06C53" w:rsidP="00A31F80">
      <w:pPr>
        <w:pStyle w:val="BodyCambria10Black"/>
        <w:ind w:firstLine="720"/>
        <w:rPr>
          <w:rFonts w:asciiTheme="minorHAnsi" w:hAnsiTheme="minorHAnsi" w:cstheme="minorHAnsi"/>
          <w:sz w:val="22"/>
          <w:szCs w:val="22"/>
        </w:rPr>
      </w:pPr>
      <w:r w:rsidRPr="000544D8">
        <w:rPr>
          <w:rFonts w:asciiTheme="minorHAnsi" w:hAnsiTheme="minorHAnsi" w:cstheme="minorHAnsi"/>
          <w:sz w:val="22"/>
          <w:szCs w:val="22"/>
        </w:rPr>
        <w:t xml:space="preserve">The NAMD survey showed that at least 12 states were implementing </w:t>
      </w:r>
      <w:r w:rsidR="000316FF" w:rsidRPr="000544D8">
        <w:rPr>
          <w:rFonts w:asciiTheme="minorHAnsi" w:hAnsiTheme="minorHAnsi" w:cstheme="minorHAnsi"/>
          <w:sz w:val="22"/>
          <w:szCs w:val="22"/>
        </w:rPr>
        <w:t xml:space="preserve">VBP models </w:t>
      </w:r>
      <w:r w:rsidRPr="000544D8">
        <w:rPr>
          <w:rFonts w:asciiTheme="minorHAnsi" w:hAnsiTheme="minorHAnsi" w:cstheme="minorHAnsi"/>
          <w:sz w:val="22"/>
          <w:szCs w:val="22"/>
        </w:rPr>
        <w:t xml:space="preserve">which pay for coordination by providing payments to </w:t>
      </w:r>
      <w:r w:rsidR="00273968" w:rsidRPr="000544D8">
        <w:rPr>
          <w:rFonts w:asciiTheme="minorHAnsi" w:hAnsiTheme="minorHAnsi" w:cstheme="minorHAnsi"/>
          <w:sz w:val="22"/>
          <w:szCs w:val="22"/>
        </w:rPr>
        <w:t>Patient-C</w:t>
      </w:r>
      <w:r w:rsidR="00E6098C" w:rsidRPr="000544D8">
        <w:rPr>
          <w:rFonts w:asciiTheme="minorHAnsi" w:hAnsiTheme="minorHAnsi" w:cstheme="minorHAnsi"/>
          <w:sz w:val="22"/>
          <w:szCs w:val="22"/>
        </w:rPr>
        <w:t xml:space="preserve">entered Medicaid Homes </w:t>
      </w:r>
      <w:r w:rsidR="00B412F6" w:rsidRPr="000544D8">
        <w:rPr>
          <w:rFonts w:asciiTheme="minorHAnsi" w:hAnsiTheme="minorHAnsi" w:cstheme="minorHAnsi"/>
          <w:sz w:val="22"/>
          <w:szCs w:val="22"/>
        </w:rPr>
        <w:t xml:space="preserve">(PCMHs) </w:t>
      </w:r>
      <w:r w:rsidR="00E6098C" w:rsidRPr="000544D8">
        <w:rPr>
          <w:rFonts w:asciiTheme="minorHAnsi" w:hAnsiTheme="minorHAnsi" w:cstheme="minorHAnsi"/>
          <w:sz w:val="22"/>
          <w:szCs w:val="22"/>
        </w:rPr>
        <w:t xml:space="preserve">or </w:t>
      </w:r>
      <w:r w:rsidR="00F43B54" w:rsidRPr="000544D8">
        <w:rPr>
          <w:rFonts w:asciiTheme="minorHAnsi" w:hAnsiTheme="minorHAnsi" w:cstheme="minorHAnsi"/>
          <w:sz w:val="22"/>
          <w:szCs w:val="22"/>
        </w:rPr>
        <w:t xml:space="preserve">Medicaid </w:t>
      </w:r>
      <w:r w:rsidR="00E6098C" w:rsidRPr="000544D8">
        <w:rPr>
          <w:rFonts w:asciiTheme="minorHAnsi" w:hAnsiTheme="minorHAnsi" w:cstheme="minorHAnsi"/>
          <w:sz w:val="22"/>
          <w:szCs w:val="22"/>
        </w:rPr>
        <w:t>Health Homes.  In some states a shared savings component was included. The surve</w:t>
      </w:r>
      <w:r w:rsidR="00BF22DA" w:rsidRPr="000544D8">
        <w:rPr>
          <w:rFonts w:asciiTheme="minorHAnsi" w:hAnsiTheme="minorHAnsi" w:cstheme="minorHAnsi"/>
          <w:sz w:val="22"/>
          <w:szCs w:val="22"/>
        </w:rPr>
        <w:t>y reported that seven states have</w:t>
      </w:r>
      <w:r w:rsidR="00E6098C" w:rsidRPr="000544D8">
        <w:rPr>
          <w:rFonts w:asciiTheme="minorHAnsi" w:hAnsiTheme="minorHAnsi" w:cstheme="minorHAnsi"/>
          <w:sz w:val="22"/>
          <w:szCs w:val="22"/>
        </w:rPr>
        <w:t xml:space="preserve"> implemented or were in the process of implementing episode-based payments for such conditions as asthma, childbirth</w:t>
      </w:r>
      <w:r w:rsidR="000F2995" w:rsidRPr="000544D8">
        <w:rPr>
          <w:rFonts w:asciiTheme="minorHAnsi" w:hAnsiTheme="minorHAnsi" w:cstheme="minorHAnsi"/>
          <w:sz w:val="22"/>
          <w:szCs w:val="22"/>
        </w:rPr>
        <w:t>,</w:t>
      </w:r>
      <w:r w:rsidR="00E6098C" w:rsidRPr="000544D8">
        <w:rPr>
          <w:rFonts w:asciiTheme="minorHAnsi" w:hAnsiTheme="minorHAnsi" w:cstheme="minorHAnsi"/>
          <w:sz w:val="22"/>
          <w:szCs w:val="22"/>
        </w:rPr>
        <w:t xml:space="preserve"> or congestive heart failure. Finally, nine states reported implementing population-based payment models.</w:t>
      </w:r>
    </w:p>
    <w:p w14:paraId="26FDDE77" w14:textId="77777777" w:rsidR="00E6098C" w:rsidRPr="000544D8" w:rsidRDefault="00E6098C" w:rsidP="003B5770">
      <w:pPr>
        <w:pStyle w:val="BodyCambria10Black"/>
        <w:ind w:firstLine="360"/>
        <w:rPr>
          <w:rFonts w:asciiTheme="minorHAnsi" w:hAnsiTheme="minorHAnsi" w:cstheme="minorHAnsi"/>
          <w:sz w:val="22"/>
          <w:szCs w:val="22"/>
        </w:rPr>
      </w:pPr>
      <w:r w:rsidRPr="000544D8">
        <w:rPr>
          <w:rFonts w:asciiTheme="minorHAnsi" w:hAnsiTheme="minorHAnsi" w:cstheme="minorHAnsi"/>
          <w:sz w:val="22"/>
          <w:szCs w:val="22"/>
        </w:rPr>
        <w:t>The NAMD study</w:t>
      </w:r>
      <w:r w:rsidR="00B2234C" w:rsidRPr="000544D8">
        <w:rPr>
          <w:rFonts w:asciiTheme="minorHAnsi" w:hAnsiTheme="minorHAnsi" w:cstheme="minorHAnsi"/>
          <w:sz w:val="22"/>
          <w:szCs w:val="22"/>
        </w:rPr>
        <w:t xml:space="preserve"> also cited the following survey findings</w:t>
      </w:r>
      <w:r w:rsidR="000316FF" w:rsidRPr="000544D8">
        <w:rPr>
          <w:rFonts w:asciiTheme="minorHAnsi" w:hAnsiTheme="minorHAnsi" w:cstheme="minorHAnsi"/>
          <w:sz w:val="22"/>
          <w:szCs w:val="22"/>
        </w:rPr>
        <w:t xml:space="preserve"> based on states’ experience </w:t>
      </w:r>
      <w:r w:rsidR="00BF22DA" w:rsidRPr="000544D8">
        <w:rPr>
          <w:rFonts w:asciiTheme="minorHAnsi" w:hAnsiTheme="minorHAnsi" w:cstheme="minorHAnsi"/>
          <w:sz w:val="22"/>
          <w:szCs w:val="22"/>
        </w:rPr>
        <w:t>in developing</w:t>
      </w:r>
      <w:r w:rsidR="000316FF" w:rsidRPr="000544D8">
        <w:rPr>
          <w:rFonts w:asciiTheme="minorHAnsi" w:hAnsiTheme="minorHAnsi" w:cstheme="minorHAnsi"/>
          <w:sz w:val="22"/>
          <w:szCs w:val="22"/>
        </w:rPr>
        <w:t xml:space="preserve"> VBP models</w:t>
      </w:r>
      <w:r w:rsidR="00B2234C" w:rsidRPr="000544D8">
        <w:rPr>
          <w:rFonts w:asciiTheme="minorHAnsi" w:hAnsiTheme="minorHAnsi" w:cstheme="minorHAnsi"/>
          <w:sz w:val="22"/>
          <w:szCs w:val="22"/>
        </w:rPr>
        <w:t>:</w:t>
      </w:r>
    </w:p>
    <w:p w14:paraId="744C54EB" w14:textId="77777777" w:rsidR="00B2234C" w:rsidRPr="000544D8" w:rsidRDefault="00B2234C" w:rsidP="007768AB">
      <w:pPr>
        <w:pStyle w:val="BodyCambria10Black"/>
        <w:numPr>
          <w:ilvl w:val="0"/>
          <w:numId w:val="5"/>
        </w:numPr>
        <w:rPr>
          <w:rFonts w:asciiTheme="minorHAnsi" w:hAnsiTheme="minorHAnsi" w:cstheme="minorHAnsi"/>
          <w:sz w:val="22"/>
          <w:szCs w:val="22"/>
        </w:rPr>
      </w:pPr>
      <w:r w:rsidRPr="000544D8">
        <w:rPr>
          <w:rFonts w:asciiTheme="minorHAnsi" w:hAnsiTheme="minorHAnsi" w:cstheme="minorHAnsi"/>
          <w:sz w:val="22"/>
          <w:szCs w:val="22"/>
        </w:rPr>
        <w:t xml:space="preserve">Stakeholder engagement throughout the entire process (planning, implementation and operations) is vital to the success of the VBP </w:t>
      </w:r>
      <w:r w:rsidR="00FF73D2" w:rsidRPr="000544D8">
        <w:rPr>
          <w:rFonts w:asciiTheme="minorHAnsi" w:hAnsiTheme="minorHAnsi" w:cstheme="minorHAnsi"/>
          <w:sz w:val="22"/>
          <w:szCs w:val="22"/>
        </w:rPr>
        <w:t>model</w:t>
      </w:r>
      <w:r w:rsidRPr="000544D8">
        <w:rPr>
          <w:rFonts w:asciiTheme="minorHAnsi" w:hAnsiTheme="minorHAnsi" w:cstheme="minorHAnsi"/>
          <w:sz w:val="22"/>
          <w:szCs w:val="22"/>
        </w:rPr>
        <w:t>.</w:t>
      </w:r>
    </w:p>
    <w:p w14:paraId="2F62A579" w14:textId="18544814" w:rsidR="00B2234C" w:rsidRPr="000544D8" w:rsidRDefault="00B2234C" w:rsidP="007768AB">
      <w:pPr>
        <w:pStyle w:val="BodyCambria10Black"/>
        <w:numPr>
          <w:ilvl w:val="0"/>
          <w:numId w:val="5"/>
        </w:numPr>
        <w:rPr>
          <w:rFonts w:asciiTheme="minorHAnsi" w:hAnsiTheme="minorHAnsi" w:cstheme="minorHAnsi"/>
          <w:sz w:val="22"/>
          <w:szCs w:val="22"/>
        </w:rPr>
      </w:pPr>
      <w:r w:rsidRPr="000544D8">
        <w:rPr>
          <w:rFonts w:asciiTheme="minorHAnsi" w:hAnsiTheme="minorHAnsi" w:cstheme="minorHAnsi"/>
          <w:sz w:val="22"/>
          <w:szCs w:val="22"/>
        </w:rPr>
        <w:t xml:space="preserve">Reliable and timely data on cost, quality, and utilization must be available to the state, providers and </w:t>
      </w:r>
      <w:r w:rsidR="00853401" w:rsidRPr="000544D8">
        <w:rPr>
          <w:rFonts w:asciiTheme="minorHAnsi" w:hAnsiTheme="minorHAnsi" w:cstheme="minorHAnsi"/>
          <w:sz w:val="22"/>
          <w:szCs w:val="22"/>
        </w:rPr>
        <w:t>M</w:t>
      </w:r>
      <w:r w:rsidR="00D57058" w:rsidRPr="000544D8">
        <w:rPr>
          <w:rFonts w:asciiTheme="minorHAnsi" w:hAnsiTheme="minorHAnsi" w:cstheme="minorHAnsi"/>
          <w:sz w:val="22"/>
          <w:szCs w:val="22"/>
        </w:rPr>
        <w:t>CE</w:t>
      </w:r>
      <w:r w:rsidRPr="000544D8">
        <w:rPr>
          <w:rFonts w:asciiTheme="minorHAnsi" w:hAnsiTheme="minorHAnsi" w:cstheme="minorHAnsi"/>
          <w:sz w:val="22"/>
          <w:szCs w:val="22"/>
        </w:rPr>
        <w:t xml:space="preserve">s. </w:t>
      </w:r>
    </w:p>
    <w:p w14:paraId="7672CE39" w14:textId="1EEC0137" w:rsidR="00B2234C" w:rsidRPr="000544D8" w:rsidRDefault="00B2234C" w:rsidP="007768AB">
      <w:pPr>
        <w:pStyle w:val="BodyCambria10Black"/>
        <w:numPr>
          <w:ilvl w:val="0"/>
          <w:numId w:val="5"/>
        </w:numPr>
        <w:rPr>
          <w:rFonts w:asciiTheme="minorHAnsi" w:hAnsiTheme="minorHAnsi" w:cstheme="minorHAnsi"/>
          <w:sz w:val="22"/>
          <w:szCs w:val="22"/>
        </w:rPr>
      </w:pPr>
      <w:r w:rsidRPr="000544D8">
        <w:rPr>
          <w:rFonts w:asciiTheme="minorHAnsi" w:hAnsiTheme="minorHAnsi" w:cstheme="minorHAnsi"/>
          <w:sz w:val="22"/>
          <w:szCs w:val="22"/>
        </w:rPr>
        <w:t xml:space="preserve">While states are interested in implementing VBP models, </w:t>
      </w:r>
      <w:r w:rsidR="00BA001F" w:rsidRPr="000544D8">
        <w:rPr>
          <w:rFonts w:asciiTheme="minorHAnsi" w:hAnsiTheme="minorHAnsi" w:cstheme="minorHAnsi"/>
          <w:sz w:val="22"/>
          <w:szCs w:val="22"/>
        </w:rPr>
        <w:t xml:space="preserve">some have been </w:t>
      </w:r>
      <w:r w:rsidRPr="000544D8">
        <w:rPr>
          <w:rFonts w:asciiTheme="minorHAnsi" w:hAnsiTheme="minorHAnsi" w:cstheme="minorHAnsi"/>
          <w:sz w:val="22"/>
          <w:szCs w:val="22"/>
        </w:rPr>
        <w:t>challenged to find the appro</w:t>
      </w:r>
      <w:r w:rsidR="000316FF" w:rsidRPr="000544D8">
        <w:rPr>
          <w:rFonts w:asciiTheme="minorHAnsi" w:hAnsiTheme="minorHAnsi" w:cstheme="minorHAnsi"/>
          <w:sz w:val="22"/>
          <w:szCs w:val="22"/>
        </w:rPr>
        <w:t xml:space="preserve">priate </w:t>
      </w:r>
      <w:r w:rsidR="00FF73D2" w:rsidRPr="000544D8">
        <w:rPr>
          <w:rFonts w:asciiTheme="minorHAnsi" w:hAnsiTheme="minorHAnsi" w:cstheme="minorHAnsi"/>
          <w:sz w:val="22"/>
          <w:szCs w:val="22"/>
        </w:rPr>
        <w:t xml:space="preserve">internal </w:t>
      </w:r>
      <w:r w:rsidR="000316FF" w:rsidRPr="000544D8">
        <w:rPr>
          <w:rFonts w:asciiTheme="minorHAnsi" w:hAnsiTheme="minorHAnsi" w:cstheme="minorHAnsi"/>
          <w:sz w:val="22"/>
          <w:szCs w:val="22"/>
        </w:rPr>
        <w:t xml:space="preserve">skills and resources necessary </w:t>
      </w:r>
      <w:r w:rsidR="00F43B54" w:rsidRPr="000544D8">
        <w:rPr>
          <w:rFonts w:asciiTheme="minorHAnsi" w:hAnsiTheme="minorHAnsi" w:cstheme="minorHAnsi"/>
          <w:sz w:val="22"/>
          <w:szCs w:val="22"/>
        </w:rPr>
        <w:t xml:space="preserve">or available </w:t>
      </w:r>
      <w:r w:rsidR="000316FF" w:rsidRPr="000544D8">
        <w:rPr>
          <w:rFonts w:asciiTheme="minorHAnsi" w:hAnsiTheme="minorHAnsi" w:cstheme="minorHAnsi"/>
          <w:sz w:val="22"/>
          <w:szCs w:val="22"/>
        </w:rPr>
        <w:t>to administer the</w:t>
      </w:r>
      <w:r w:rsidR="00FF73D2" w:rsidRPr="000544D8">
        <w:rPr>
          <w:rFonts w:asciiTheme="minorHAnsi" w:hAnsiTheme="minorHAnsi" w:cstheme="minorHAnsi"/>
          <w:sz w:val="22"/>
          <w:szCs w:val="22"/>
        </w:rPr>
        <w:t xml:space="preserve"> model</w:t>
      </w:r>
      <w:r w:rsidR="000316FF" w:rsidRPr="000544D8">
        <w:rPr>
          <w:rFonts w:asciiTheme="minorHAnsi" w:hAnsiTheme="minorHAnsi" w:cstheme="minorHAnsi"/>
          <w:sz w:val="22"/>
          <w:szCs w:val="22"/>
        </w:rPr>
        <w:t>.</w:t>
      </w:r>
      <w:r w:rsidR="00247A88" w:rsidRPr="000544D8">
        <w:rPr>
          <w:rFonts w:asciiTheme="minorHAnsi" w:hAnsiTheme="minorHAnsi" w:cstheme="minorHAnsi"/>
          <w:sz w:val="22"/>
          <w:szCs w:val="22"/>
        </w:rPr>
        <w:t xml:space="preserve"> </w:t>
      </w:r>
    </w:p>
    <w:p w14:paraId="2D5E548C" w14:textId="0669F63F" w:rsidR="00B2234C" w:rsidRPr="000544D8" w:rsidRDefault="00B2234C" w:rsidP="007768AB">
      <w:pPr>
        <w:pStyle w:val="BodyCambria10Black"/>
        <w:numPr>
          <w:ilvl w:val="0"/>
          <w:numId w:val="5"/>
        </w:numPr>
        <w:rPr>
          <w:rFonts w:asciiTheme="minorHAnsi" w:hAnsiTheme="minorHAnsi" w:cstheme="minorHAnsi"/>
          <w:sz w:val="22"/>
          <w:szCs w:val="22"/>
        </w:rPr>
      </w:pPr>
      <w:r w:rsidRPr="000544D8">
        <w:rPr>
          <w:rFonts w:asciiTheme="minorHAnsi" w:hAnsiTheme="minorHAnsi" w:cstheme="minorHAnsi"/>
          <w:sz w:val="22"/>
          <w:szCs w:val="22"/>
        </w:rPr>
        <w:t>Lack of coordination between state and federal efforts may impede th</w:t>
      </w:r>
      <w:r w:rsidR="00273968" w:rsidRPr="000544D8">
        <w:rPr>
          <w:rFonts w:asciiTheme="minorHAnsi" w:hAnsiTheme="minorHAnsi" w:cstheme="minorHAnsi"/>
          <w:sz w:val="22"/>
          <w:szCs w:val="22"/>
        </w:rPr>
        <w:t>e successful implementation of M</w:t>
      </w:r>
      <w:r w:rsidRPr="000544D8">
        <w:rPr>
          <w:rFonts w:asciiTheme="minorHAnsi" w:hAnsiTheme="minorHAnsi" w:cstheme="minorHAnsi"/>
          <w:sz w:val="22"/>
          <w:szCs w:val="22"/>
        </w:rPr>
        <w:t xml:space="preserve">edicaid VBP </w:t>
      </w:r>
      <w:r w:rsidR="00FF73D2" w:rsidRPr="000544D8">
        <w:rPr>
          <w:rFonts w:asciiTheme="minorHAnsi" w:hAnsiTheme="minorHAnsi" w:cstheme="minorHAnsi"/>
          <w:sz w:val="22"/>
          <w:szCs w:val="22"/>
        </w:rPr>
        <w:t>model</w:t>
      </w:r>
      <w:r w:rsidR="00273968" w:rsidRPr="000544D8">
        <w:rPr>
          <w:rFonts w:asciiTheme="minorHAnsi" w:hAnsiTheme="minorHAnsi" w:cstheme="minorHAnsi"/>
          <w:sz w:val="22"/>
          <w:szCs w:val="22"/>
        </w:rPr>
        <w:t>s</w:t>
      </w:r>
      <w:r w:rsidRPr="000544D8">
        <w:rPr>
          <w:rFonts w:asciiTheme="minorHAnsi" w:hAnsiTheme="minorHAnsi" w:cstheme="minorHAnsi"/>
          <w:sz w:val="22"/>
          <w:szCs w:val="22"/>
        </w:rPr>
        <w:t>.</w:t>
      </w:r>
      <w:r w:rsidR="00A728F7" w:rsidRPr="000544D8">
        <w:rPr>
          <w:rFonts w:asciiTheme="minorHAnsi" w:hAnsiTheme="minorHAnsi" w:cstheme="minorHAnsi"/>
          <w:sz w:val="22"/>
          <w:szCs w:val="22"/>
        </w:rPr>
        <w:t xml:space="preserve"> Alignment of </w:t>
      </w:r>
      <w:r w:rsidR="00DA525D" w:rsidRPr="000544D8">
        <w:rPr>
          <w:rFonts w:asciiTheme="minorHAnsi" w:hAnsiTheme="minorHAnsi" w:cstheme="minorHAnsi"/>
          <w:sz w:val="22"/>
          <w:szCs w:val="22"/>
        </w:rPr>
        <w:t xml:space="preserve">at least state and federal </w:t>
      </w:r>
      <w:r w:rsidR="00A728F7" w:rsidRPr="000544D8">
        <w:rPr>
          <w:rFonts w:asciiTheme="minorHAnsi" w:hAnsiTheme="minorHAnsi" w:cstheme="minorHAnsi"/>
          <w:sz w:val="22"/>
          <w:szCs w:val="22"/>
        </w:rPr>
        <w:t xml:space="preserve">models across payer types </w:t>
      </w:r>
      <w:r w:rsidR="00DA525D" w:rsidRPr="000544D8">
        <w:rPr>
          <w:rFonts w:asciiTheme="minorHAnsi" w:hAnsiTheme="minorHAnsi" w:cstheme="minorHAnsi"/>
          <w:sz w:val="22"/>
          <w:szCs w:val="22"/>
        </w:rPr>
        <w:t xml:space="preserve">helps </w:t>
      </w:r>
      <w:r w:rsidR="00A728F7" w:rsidRPr="000544D8">
        <w:rPr>
          <w:rFonts w:asciiTheme="minorHAnsi" w:hAnsiTheme="minorHAnsi" w:cstheme="minorHAnsi"/>
          <w:sz w:val="22"/>
          <w:szCs w:val="22"/>
        </w:rPr>
        <w:t>to alleviate provider</w:t>
      </w:r>
      <w:r w:rsidR="00966F48" w:rsidRPr="000544D8">
        <w:rPr>
          <w:rFonts w:asciiTheme="minorHAnsi" w:hAnsiTheme="minorHAnsi" w:cstheme="minorHAnsi"/>
          <w:sz w:val="22"/>
          <w:szCs w:val="22"/>
        </w:rPr>
        <w:t xml:space="preserve"> level </w:t>
      </w:r>
      <w:r w:rsidR="00A728F7" w:rsidRPr="000544D8">
        <w:rPr>
          <w:rFonts w:asciiTheme="minorHAnsi" w:hAnsiTheme="minorHAnsi" w:cstheme="minorHAnsi"/>
          <w:sz w:val="22"/>
          <w:szCs w:val="22"/>
        </w:rPr>
        <w:t xml:space="preserve">administrative burden. </w:t>
      </w:r>
    </w:p>
    <w:p w14:paraId="16DE51CF" w14:textId="08CFE88E" w:rsidR="00B2234C" w:rsidRPr="000544D8" w:rsidRDefault="00B70C0A" w:rsidP="007768AB">
      <w:pPr>
        <w:pStyle w:val="BodyCambria10Black"/>
        <w:numPr>
          <w:ilvl w:val="0"/>
          <w:numId w:val="5"/>
        </w:numPr>
        <w:rPr>
          <w:rFonts w:asciiTheme="minorHAnsi" w:hAnsiTheme="minorHAnsi" w:cstheme="minorHAnsi"/>
          <w:sz w:val="22"/>
          <w:szCs w:val="22"/>
        </w:rPr>
      </w:pPr>
      <w:r w:rsidRPr="000544D8">
        <w:rPr>
          <w:rFonts w:asciiTheme="minorHAnsi" w:hAnsiTheme="minorHAnsi" w:cstheme="minorHAnsi"/>
          <w:sz w:val="22"/>
          <w:szCs w:val="22"/>
        </w:rPr>
        <w:t xml:space="preserve">CMS offers a number of tools and supports that are helpful to </w:t>
      </w:r>
      <w:r w:rsidR="00DA525D" w:rsidRPr="000544D8">
        <w:rPr>
          <w:rFonts w:asciiTheme="minorHAnsi" w:hAnsiTheme="minorHAnsi" w:cstheme="minorHAnsi"/>
          <w:sz w:val="22"/>
          <w:szCs w:val="22"/>
        </w:rPr>
        <w:t>s</w:t>
      </w:r>
      <w:r w:rsidR="00247A88" w:rsidRPr="000544D8">
        <w:rPr>
          <w:rFonts w:asciiTheme="minorHAnsi" w:hAnsiTheme="minorHAnsi" w:cstheme="minorHAnsi"/>
          <w:sz w:val="22"/>
          <w:szCs w:val="22"/>
        </w:rPr>
        <w:t>tat</w:t>
      </w:r>
      <w:r w:rsidRPr="000544D8">
        <w:rPr>
          <w:rFonts w:asciiTheme="minorHAnsi" w:hAnsiTheme="minorHAnsi" w:cstheme="minorHAnsi"/>
          <w:sz w:val="22"/>
          <w:szCs w:val="22"/>
        </w:rPr>
        <w:t>e</w:t>
      </w:r>
      <w:r w:rsidR="00247A88" w:rsidRPr="000544D8">
        <w:rPr>
          <w:rFonts w:asciiTheme="minorHAnsi" w:hAnsiTheme="minorHAnsi" w:cstheme="minorHAnsi"/>
          <w:sz w:val="22"/>
          <w:szCs w:val="22"/>
        </w:rPr>
        <w:t xml:space="preserve">s </w:t>
      </w:r>
      <w:r w:rsidRPr="000544D8">
        <w:rPr>
          <w:rFonts w:asciiTheme="minorHAnsi" w:hAnsiTheme="minorHAnsi" w:cstheme="minorHAnsi"/>
          <w:sz w:val="22"/>
          <w:szCs w:val="22"/>
        </w:rPr>
        <w:t xml:space="preserve">in the VBP model design and implementation process. </w:t>
      </w:r>
    </w:p>
    <w:p w14:paraId="2645C35E" w14:textId="575616BF" w:rsidR="00460901" w:rsidRPr="009B0F86" w:rsidRDefault="00460901" w:rsidP="00460901">
      <w:pPr>
        <w:pStyle w:val="BodyCambria10Black"/>
        <w:rPr>
          <w:rFonts w:asciiTheme="minorHAnsi" w:hAnsiTheme="minorHAnsi" w:cstheme="minorHAnsi"/>
          <w:b/>
          <w:szCs w:val="22"/>
          <w:u w:val="single"/>
        </w:rPr>
      </w:pPr>
      <w:r w:rsidRPr="009B0F86">
        <w:rPr>
          <w:rFonts w:asciiTheme="minorHAnsi" w:hAnsiTheme="minorHAnsi" w:cstheme="minorHAnsi"/>
          <w:b/>
          <w:szCs w:val="22"/>
          <w:u w:val="single"/>
        </w:rPr>
        <w:t>State Medicaid Priorities</w:t>
      </w:r>
    </w:p>
    <w:p w14:paraId="2A3966B5" w14:textId="4727FF75" w:rsidR="003007C2" w:rsidRPr="000544D8" w:rsidRDefault="00A31F80" w:rsidP="003007C2">
      <w:pPr>
        <w:ind w:firstLine="720"/>
        <w:rPr>
          <w:rFonts w:asciiTheme="minorHAnsi" w:hAnsiTheme="minorHAnsi" w:cstheme="minorHAnsi"/>
          <w:szCs w:val="20"/>
        </w:rPr>
      </w:pPr>
      <w:r w:rsidRPr="000544D8">
        <w:rPr>
          <w:rFonts w:asciiTheme="minorHAnsi" w:hAnsiTheme="minorHAnsi" w:cstheme="minorHAnsi"/>
          <w:szCs w:val="20"/>
        </w:rPr>
        <w:t xml:space="preserve">Results from the recently completed 50-State Medicaid Budget Survey from the Kaiser Family Foundation indicates that </w:t>
      </w:r>
      <w:r w:rsidR="003007C2" w:rsidRPr="000544D8">
        <w:rPr>
          <w:rFonts w:asciiTheme="minorHAnsi" w:hAnsiTheme="minorHAnsi" w:cstheme="minorHAnsi"/>
          <w:szCs w:val="20"/>
        </w:rPr>
        <w:t>State Medicaid directors reported five areas of priority for 2019.</w:t>
      </w:r>
      <w:r w:rsidR="003007C2" w:rsidRPr="000544D8">
        <w:rPr>
          <w:rStyle w:val="FootnoteReference"/>
          <w:rFonts w:asciiTheme="minorHAnsi" w:hAnsiTheme="minorHAnsi" w:cstheme="minorHAnsi"/>
          <w:szCs w:val="20"/>
        </w:rPr>
        <w:footnoteReference w:id="3"/>
      </w:r>
      <w:r w:rsidR="003007C2" w:rsidRPr="000544D8">
        <w:rPr>
          <w:rFonts w:asciiTheme="minorHAnsi" w:hAnsiTheme="minorHAnsi" w:cstheme="minorHAnsi"/>
          <w:szCs w:val="20"/>
        </w:rPr>
        <w:t xml:space="preserve"> More than two-thirds of states reported a focus on developing and implementing initiatives to improve </w:t>
      </w:r>
      <w:r w:rsidR="003007C2" w:rsidRPr="000544D8">
        <w:rPr>
          <w:rFonts w:asciiTheme="minorHAnsi" w:hAnsiTheme="minorHAnsi" w:cstheme="minorHAnsi"/>
          <w:szCs w:val="20"/>
        </w:rPr>
        <w:lastRenderedPageBreak/>
        <w:t xml:space="preserve">quality of care and health outcomes while containing costs. Avenues to achieve this include expanding, improving, and reforming managed care; reforming delivery systems; implementing value-based purchasing initiatives; and expanding the availability of </w:t>
      </w:r>
      <w:r w:rsidR="00756663">
        <w:rPr>
          <w:rFonts w:asciiTheme="minorHAnsi" w:hAnsiTheme="minorHAnsi" w:cstheme="minorHAnsi"/>
          <w:szCs w:val="20"/>
        </w:rPr>
        <w:t>Substance Use Disorder (</w:t>
      </w:r>
      <w:r w:rsidR="003007C2" w:rsidRPr="000544D8">
        <w:rPr>
          <w:rFonts w:asciiTheme="minorHAnsi" w:hAnsiTheme="minorHAnsi" w:cstheme="minorHAnsi"/>
          <w:szCs w:val="20"/>
        </w:rPr>
        <w:t>SUD</w:t>
      </w:r>
      <w:r w:rsidR="00756663">
        <w:rPr>
          <w:rFonts w:asciiTheme="minorHAnsi" w:hAnsiTheme="minorHAnsi" w:cstheme="minorHAnsi"/>
          <w:szCs w:val="20"/>
        </w:rPr>
        <w:t>)</w:t>
      </w:r>
      <w:r w:rsidR="003007C2" w:rsidRPr="000544D8">
        <w:rPr>
          <w:rFonts w:asciiTheme="minorHAnsi" w:hAnsiTheme="minorHAnsi" w:cstheme="minorHAnsi"/>
          <w:szCs w:val="20"/>
        </w:rPr>
        <w:t xml:space="preserve"> treatment. Many states hoped to implement or pursue new Section 1115 demonstration waivers in 2019. The most frequently reported waiver concepts addressed behavioral health and/or the </w:t>
      </w:r>
      <w:r w:rsidR="00ED71FB">
        <w:rPr>
          <w:rFonts w:asciiTheme="minorHAnsi" w:hAnsiTheme="minorHAnsi" w:cstheme="minorHAnsi"/>
          <w:szCs w:val="20"/>
        </w:rPr>
        <w:t>Institution for Mental Disease (</w:t>
      </w:r>
      <w:r w:rsidR="003007C2" w:rsidRPr="000544D8">
        <w:rPr>
          <w:rFonts w:asciiTheme="minorHAnsi" w:hAnsiTheme="minorHAnsi" w:cstheme="minorHAnsi"/>
          <w:szCs w:val="20"/>
        </w:rPr>
        <w:t>IMD</w:t>
      </w:r>
      <w:r w:rsidR="00ED71FB">
        <w:rPr>
          <w:rFonts w:asciiTheme="minorHAnsi" w:hAnsiTheme="minorHAnsi" w:cstheme="minorHAnsi"/>
          <w:szCs w:val="20"/>
        </w:rPr>
        <w:t>)</w:t>
      </w:r>
      <w:r w:rsidR="003007C2" w:rsidRPr="000544D8">
        <w:rPr>
          <w:rFonts w:asciiTheme="minorHAnsi" w:hAnsiTheme="minorHAnsi" w:cstheme="minorHAnsi"/>
          <w:szCs w:val="20"/>
        </w:rPr>
        <w:t xml:space="preserve"> exclusion and work and community engagement requirements. </w:t>
      </w:r>
    </w:p>
    <w:p w14:paraId="5CA120B1" w14:textId="6DD30218" w:rsidR="00903A07" w:rsidRDefault="003007C2" w:rsidP="00903A07">
      <w:pPr>
        <w:ind w:firstLine="720"/>
        <w:rPr>
          <w:rFonts w:asciiTheme="minorHAnsi" w:hAnsiTheme="minorHAnsi" w:cstheme="minorHAnsi"/>
          <w:szCs w:val="20"/>
        </w:rPr>
        <w:sectPr w:rsidR="00903A07" w:rsidSect="006E47CE">
          <w:headerReference w:type="default" r:id="rId8"/>
          <w:footerReference w:type="default" r:id="rId9"/>
          <w:footnotePr>
            <w:numFmt w:val="lowerRoman"/>
          </w:footnotePr>
          <w:type w:val="continuous"/>
          <w:pgSz w:w="12240" w:h="15840"/>
          <w:pgMar w:top="2304" w:right="1440" w:bottom="1584" w:left="1728" w:header="720" w:footer="1267" w:gutter="0"/>
          <w:cols w:space="720"/>
          <w:docGrid w:linePitch="360"/>
        </w:sectPr>
      </w:pPr>
      <w:r w:rsidRPr="000544D8">
        <w:rPr>
          <w:rFonts w:asciiTheme="minorHAnsi" w:hAnsiTheme="minorHAnsi" w:cstheme="minorHAnsi"/>
          <w:szCs w:val="20"/>
        </w:rPr>
        <w:t xml:space="preserve">As in years past, a significant number of states reported information technology systems projects currently underway or planned. Most are related to Medicaid Management Information Systems procurements and eligibility system upgrades and replacements. States commented on redesigning their systems to meet federal “modularity” requirements, and the need for system improvements to support delivery system reform and </w:t>
      </w:r>
      <w:r w:rsidR="00BF1D7C">
        <w:rPr>
          <w:rFonts w:asciiTheme="minorHAnsi" w:hAnsiTheme="minorHAnsi" w:cstheme="minorHAnsi"/>
          <w:szCs w:val="20"/>
        </w:rPr>
        <w:t>VBP</w:t>
      </w:r>
      <w:r w:rsidRPr="000544D8">
        <w:rPr>
          <w:rFonts w:asciiTheme="minorHAnsi" w:hAnsiTheme="minorHAnsi" w:cstheme="minorHAnsi"/>
          <w:szCs w:val="20"/>
        </w:rPr>
        <w:t>, quali</w:t>
      </w:r>
      <w:r w:rsidR="00BF1D7C">
        <w:rPr>
          <w:rFonts w:asciiTheme="minorHAnsi" w:hAnsiTheme="minorHAnsi" w:cstheme="minorHAnsi"/>
          <w:szCs w:val="20"/>
        </w:rPr>
        <w:t>ty improvement, provider and MCE</w:t>
      </w:r>
      <w:r w:rsidRPr="000544D8">
        <w:rPr>
          <w:rFonts w:asciiTheme="minorHAnsi" w:hAnsiTheme="minorHAnsi" w:cstheme="minorHAnsi"/>
          <w:szCs w:val="20"/>
        </w:rPr>
        <w:t xml:space="preserve"> monitoring, data analytics, and cost control strategies.</w:t>
      </w:r>
      <w:r w:rsidR="00903A07" w:rsidRPr="00903A07">
        <w:rPr>
          <w:rFonts w:asciiTheme="minorHAnsi" w:hAnsiTheme="minorHAnsi" w:cstheme="minorHAnsi"/>
          <w:szCs w:val="20"/>
          <w:vertAlign w:val="superscript"/>
        </w:rPr>
        <w:t xml:space="preserve"> </w:t>
      </w:r>
      <w:r w:rsidR="00903A07" w:rsidRPr="00F4030D">
        <w:rPr>
          <w:rFonts w:asciiTheme="minorHAnsi" w:hAnsiTheme="minorHAnsi" w:cstheme="minorHAnsi"/>
          <w:szCs w:val="20"/>
          <w:vertAlign w:val="superscript"/>
        </w:rPr>
        <w:t>vii</w:t>
      </w:r>
    </w:p>
    <w:p w14:paraId="6A448C2D" w14:textId="62C29AFF" w:rsidR="00E6471E" w:rsidRPr="00756663" w:rsidRDefault="00E6471E" w:rsidP="000544D8">
      <w:pPr>
        <w:pStyle w:val="BodyCambria10Black"/>
        <w:rPr>
          <w:rFonts w:asciiTheme="minorHAnsi" w:hAnsiTheme="minorHAnsi" w:cstheme="minorHAnsi"/>
          <w:b/>
          <w:u w:val="single"/>
        </w:rPr>
      </w:pPr>
      <w:r w:rsidRPr="00756663">
        <w:rPr>
          <w:rFonts w:asciiTheme="minorHAnsi" w:hAnsiTheme="minorHAnsi" w:cstheme="minorHAnsi"/>
          <w:b/>
          <w:u w:val="single"/>
        </w:rPr>
        <w:t>The Role of Health Information Technology</w:t>
      </w:r>
    </w:p>
    <w:p w14:paraId="0468DB9A" w14:textId="77777777" w:rsidR="00667627" w:rsidRPr="000544D8" w:rsidRDefault="00E6471E" w:rsidP="00E6471E">
      <w:pPr>
        <w:ind w:firstLine="720"/>
        <w:rPr>
          <w:rFonts w:asciiTheme="minorHAnsi" w:hAnsiTheme="minorHAnsi" w:cstheme="minorHAnsi"/>
        </w:rPr>
      </w:pPr>
      <w:r w:rsidRPr="000544D8">
        <w:rPr>
          <w:rFonts w:asciiTheme="minorHAnsi" w:hAnsiTheme="minorHAnsi" w:cstheme="minorHAnsi"/>
        </w:rPr>
        <w:t xml:space="preserve">Reliance on health IT is ever-changing but one thing is clear, it is a necessity. </w:t>
      </w:r>
      <w:r w:rsidR="00DF4F73" w:rsidRPr="000544D8">
        <w:rPr>
          <w:rFonts w:asciiTheme="minorHAnsi" w:hAnsiTheme="minorHAnsi" w:cstheme="minorHAnsi"/>
        </w:rPr>
        <w:t>Health IT is required to deliver timely access to reliable data at the point of care for appropriate medical decision-making.  Program managers need health IT to deliver reliable data to make informed-decisions regarding utilization, access, quality improvement, and finan</w:t>
      </w:r>
      <w:r w:rsidR="00060CBE" w:rsidRPr="000544D8">
        <w:rPr>
          <w:rFonts w:asciiTheme="minorHAnsi" w:hAnsiTheme="minorHAnsi" w:cstheme="minorHAnsi"/>
        </w:rPr>
        <w:t>cial management.  Finally, program</w:t>
      </w:r>
      <w:r w:rsidR="00DF4F73" w:rsidRPr="000544D8">
        <w:rPr>
          <w:rFonts w:asciiTheme="minorHAnsi" w:hAnsiTheme="minorHAnsi" w:cstheme="minorHAnsi"/>
        </w:rPr>
        <w:t xml:space="preserve"> executive</w:t>
      </w:r>
      <w:r w:rsidR="00060CBE" w:rsidRPr="000544D8">
        <w:rPr>
          <w:rFonts w:asciiTheme="minorHAnsi" w:hAnsiTheme="minorHAnsi" w:cstheme="minorHAnsi"/>
        </w:rPr>
        <w:t>s</w:t>
      </w:r>
      <w:r w:rsidR="00DF4F73" w:rsidRPr="000544D8">
        <w:rPr>
          <w:rFonts w:asciiTheme="minorHAnsi" w:hAnsiTheme="minorHAnsi" w:cstheme="minorHAnsi"/>
        </w:rPr>
        <w:t xml:space="preserve"> and other stakeholders need health IT to</w:t>
      </w:r>
      <w:r w:rsidR="00060CBE" w:rsidRPr="000544D8">
        <w:rPr>
          <w:rFonts w:asciiTheme="minorHAnsi" w:hAnsiTheme="minorHAnsi" w:cstheme="minorHAnsi"/>
        </w:rPr>
        <w:t xml:space="preserve"> deliver reliable data to establish overall objectives and inform policy decisions on population health, enrollment, coverage options, program development, budgets and forecasts, and other key decisions.  </w:t>
      </w:r>
    </w:p>
    <w:p w14:paraId="65C0333E" w14:textId="0FE978D2" w:rsidR="00667627" w:rsidRPr="000544D8" w:rsidRDefault="00667627" w:rsidP="00E6471E">
      <w:pPr>
        <w:ind w:firstLine="720"/>
        <w:rPr>
          <w:rFonts w:asciiTheme="minorHAnsi" w:hAnsiTheme="minorHAnsi" w:cstheme="minorHAnsi"/>
        </w:rPr>
      </w:pPr>
      <w:r w:rsidRPr="000544D8">
        <w:rPr>
          <w:rFonts w:asciiTheme="minorHAnsi" w:hAnsiTheme="minorHAnsi" w:cstheme="minorHAnsi"/>
        </w:rPr>
        <w:t>Health IT is most often viewed as a singular stand-alone thing.  Indeed it is unique in many ways but today’s health IT is a highly integrated, extremely complex, web of systems and data. Having access to a system or certain dataset is one thing, but its real power is unleashed when it is combined with other systems and datasets.  It all needs to</w:t>
      </w:r>
      <w:r w:rsidR="00BD2B71">
        <w:rPr>
          <w:rFonts w:asciiTheme="minorHAnsi" w:hAnsiTheme="minorHAnsi" w:cstheme="minorHAnsi"/>
        </w:rPr>
        <w:t xml:space="preserve"> effectively communicate</w:t>
      </w:r>
      <w:r w:rsidRPr="000544D8">
        <w:rPr>
          <w:rFonts w:asciiTheme="minorHAnsi" w:hAnsiTheme="minorHAnsi" w:cstheme="minorHAnsi"/>
        </w:rPr>
        <w:t xml:space="preserve"> for health IT to be truly effective.  </w:t>
      </w:r>
    </w:p>
    <w:p w14:paraId="4ED38B3A" w14:textId="5416EB7A" w:rsidR="00E6471E" w:rsidRPr="000544D8" w:rsidRDefault="00667627" w:rsidP="002915AF">
      <w:pPr>
        <w:ind w:firstLine="720"/>
        <w:rPr>
          <w:rFonts w:asciiTheme="minorHAnsi" w:hAnsiTheme="minorHAnsi" w:cstheme="minorHAnsi"/>
        </w:rPr>
      </w:pPr>
      <w:r w:rsidRPr="000544D8">
        <w:rPr>
          <w:rFonts w:asciiTheme="minorHAnsi" w:hAnsiTheme="minorHAnsi" w:cstheme="minorHAnsi"/>
        </w:rPr>
        <w:t>Stakeholders, both internal and external often view health IT initiatives as a necessary, stand-alone entity, with its own goals and objectives.  Heal</w:t>
      </w:r>
      <w:r w:rsidR="00E6471E" w:rsidRPr="000544D8">
        <w:rPr>
          <w:rFonts w:asciiTheme="minorHAnsi" w:hAnsiTheme="minorHAnsi" w:cstheme="minorHAnsi"/>
        </w:rPr>
        <w:t xml:space="preserve">th IT should not be viewed as the end goal, it is the means to accomplishing </w:t>
      </w:r>
      <w:r w:rsidRPr="000544D8">
        <w:rPr>
          <w:rFonts w:asciiTheme="minorHAnsi" w:hAnsiTheme="minorHAnsi" w:cstheme="minorHAnsi"/>
        </w:rPr>
        <w:t>them</w:t>
      </w:r>
      <w:r w:rsidR="00E6471E" w:rsidRPr="000544D8">
        <w:rPr>
          <w:rFonts w:asciiTheme="minorHAnsi" w:hAnsiTheme="minorHAnsi" w:cstheme="minorHAnsi"/>
        </w:rPr>
        <w:t xml:space="preserve">.  </w:t>
      </w:r>
      <w:r w:rsidRPr="000544D8">
        <w:rPr>
          <w:rFonts w:asciiTheme="minorHAnsi" w:hAnsiTheme="minorHAnsi" w:cstheme="minorHAnsi"/>
        </w:rPr>
        <w:t>This connection is often misunderstood</w:t>
      </w:r>
      <w:r w:rsidR="00E6471E" w:rsidRPr="000544D8">
        <w:rPr>
          <w:rFonts w:asciiTheme="minorHAnsi" w:hAnsiTheme="minorHAnsi" w:cstheme="minorHAnsi"/>
        </w:rPr>
        <w:t>.</w:t>
      </w:r>
      <w:r w:rsidRPr="000544D8">
        <w:rPr>
          <w:rFonts w:asciiTheme="minorHAnsi" w:hAnsiTheme="minorHAnsi" w:cstheme="minorHAnsi"/>
        </w:rPr>
        <w:t xml:space="preserve">  Therefore, any health IT initiative should include a robust communication strategy to demonstrate the linkage to </w:t>
      </w:r>
      <w:r w:rsidR="002915AF" w:rsidRPr="000544D8">
        <w:rPr>
          <w:rFonts w:asciiTheme="minorHAnsi" w:hAnsiTheme="minorHAnsi" w:cstheme="minorHAnsi"/>
        </w:rPr>
        <w:t xml:space="preserve">the </w:t>
      </w:r>
      <w:r w:rsidRPr="000544D8">
        <w:rPr>
          <w:rFonts w:asciiTheme="minorHAnsi" w:hAnsiTheme="minorHAnsi" w:cstheme="minorHAnsi"/>
        </w:rPr>
        <w:t>succes</w:t>
      </w:r>
      <w:r w:rsidR="002915AF" w:rsidRPr="000544D8">
        <w:rPr>
          <w:rFonts w:asciiTheme="minorHAnsi" w:hAnsiTheme="minorHAnsi" w:cstheme="minorHAnsi"/>
        </w:rPr>
        <w:t>s of high-level health care objectives.  Stakeholder engagement is a critical component to any health IT initiative.</w:t>
      </w:r>
    </w:p>
    <w:p w14:paraId="69F52898" w14:textId="77777777" w:rsidR="00550CDA" w:rsidRPr="00756663" w:rsidRDefault="00550CDA" w:rsidP="00DB0CA3">
      <w:pPr>
        <w:pStyle w:val="BodyCambria10Black"/>
        <w:rPr>
          <w:rFonts w:asciiTheme="minorHAnsi" w:hAnsiTheme="minorHAnsi" w:cstheme="minorHAnsi"/>
          <w:b/>
          <w:u w:val="single"/>
        </w:rPr>
      </w:pPr>
      <w:r w:rsidRPr="00756663">
        <w:rPr>
          <w:rFonts w:asciiTheme="minorHAnsi" w:hAnsiTheme="minorHAnsi" w:cstheme="minorHAnsi"/>
          <w:b/>
          <w:u w:val="single"/>
        </w:rPr>
        <w:t xml:space="preserve">General Approaches </w:t>
      </w:r>
      <w:r w:rsidR="00780777" w:rsidRPr="00756663">
        <w:rPr>
          <w:rFonts w:asciiTheme="minorHAnsi" w:hAnsiTheme="minorHAnsi" w:cstheme="minorHAnsi"/>
          <w:b/>
          <w:u w:val="single"/>
        </w:rPr>
        <w:t xml:space="preserve">for Implementing VBP </w:t>
      </w:r>
      <w:r w:rsidRPr="00756663">
        <w:rPr>
          <w:rFonts w:asciiTheme="minorHAnsi" w:hAnsiTheme="minorHAnsi" w:cstheme="minorHAnsi"/>
          <w:b/>
          <w:u w:val="single"/>
        </w:rPr>
        <w:t>in Medicaid Managed Care</w:t>
      </w:r>
    </w:p>
    <w:p w14:paraId="7D234A79" w14:textId="7EF8A375" w:rsidR="00BF22DA" w:rsidRPr="000544D8" w:rsidRDefault="00BF22DA" w:rsidP="00BB005E">
      <w:pPr>
        <w:pStyle w:val="BodyCambria10Black"/>
        <w:ind w:firstLine="720"/>
        <w:rPr>
          <w:rFonts w:asciiTheme="minorHAnsi" w:hAnsiTheme="minorHAnsi" w:cstheme="minorHAnsi"/>
          <w:sz w:val="22"/>
        </w:rPr>
      </w:pPr>
      <w:r w:rsidRPr="000544D8">
        <w:rPr>
          <w:rFonts w:asciiTheme="minorHAnsi" w:hAnsiTheme="minorHAnsi" w:cstheme="minorHAnsi"/>
          <w:sz w:val="22"/>
        </w:rPr>
        <w:t xml:space="preserve">States </w:t>
      </w:r>
      <w:r w:rsidR="00E64C38" w:rsidRPr="000544D8">
        <w:rPr>
          <w:rFonts w:asciiTheme="minorHAnsi" w:hAnsiTheme="minorHAnsi" w:cstheme="minorHAnsi"/>
          <w:sz w:val="22"/>
        </w:rPr>
        <w:t>may implement</w:t>
      </w:r>
      <w:r w:rsidRPr="000544D8">
        <w:rPr>
          <w:rFonts w:asciiTheme="minorHAnsi" w:hAnsiTheme="minorHAnsi" w:cstheme="minorHAnsi"/>
          <w:sz w:val="22"/>
        </w:rPr>
        <w:t xml:space="preserve"> VBP </w:t>
      </w:r>
      <w:r w:rsidR="00464AEC" w:rsidRPr="000544D8">
        <w:rPr>
          <w:rFonts w:asciiTheme="minorHAnsi" w:hAnsiTheme="minorHAnsi" w:cstheme="minorHAnsi"/>
          <w:sz w:val="22"/>
        </w:rPr>
        <w:t>model</w:t>
      </w:r>
      <w:r w:rsidRPr="000544D8">
        <w:rPr>
          <w:rFonts w:asciiTheme="minorHAnsi" w:hAnsiTheme="minorHAnsi" w:cstheme="minorHAnsi"/>
          <w:sz w:val="22"/>
        </w:rPr>
        <w:t>s</w:t>
      </w:r>
      <w:r w:rsidR="003042AF" w:rsidRPr="000544D8">
        <w:rPr>
          <w:rFonts w:asciiTheme="minorHAnsi" w:hAnsiTheme="minorHAnsi" w:cstheme="minorHAnsi"/>
          <w:sz w:val="22"/>
        </w:rPr>
        <w:t xml:space="preserve"> </w:t>
      </w:r>
      <w:r w:rsidR="006106B3" w:rsidRPr="000544D8">
        <w:rPr>
          <w:rFonts w:asciiTheme="minorHAnsi" w:hAnsiTheme="minorHAnsi" w:cstheme="minorHAnsi"/>
          <w:sz w:val="22"/>
        </w:rPr>
        <w:t>either directly with providers, or by requiring MCEs to implement them within their provider networks</w:t>
      </w:r>
      <w:r w:rsidR="00E740DD">
        <w:rPr>
          <w:rFonts w:asciiTheme="minorHAnsi" w:hAnsiTheme="minorHAnsi" w:cstheme="minorHAnsi"/>
          <w:sz w:val="22"/>
        </w:rPr>
        <w:t>.  VBP models may be implemented with a link</w:t>
      </w:r>
      <w:r w:rsidR="006106B3" w:rsidRPr="000544D8">
        <w:rPr>
          <w:rFonts w:asciiTheme="minorHAnsi" w:hAnsiTheme="minorHAnsi" w:cstheme="minorHAnsi"/>
          <w:sz w:val="22"/>
        </w:rPr>
        <w:t xml:space="preserve"> to </w:t>
      </w:r>
      <w:r w:rsidR="006106B3" w:rsidRPr="000544D8">
        <w:rPr>
          <w:rFonts w:asciiTheme="minorHAnsi" w:hAnsiTheme="minorHAnsi" w:cstheme="minorHAnsi"/>
          <w:sz w:val="22"/>
        </w:rPr>
        <w:lastRenderedPageBreak/>
        <w:t>quality or</w:t>
      </w:r>
      <w:r w:rsidRPr="000544D8">
        <w:rPr>
          <w:rFonts w:asciiTheme="minorHAnsi" w:hAnsiTheme="minorHAnsi" w:cstheme="minorHAnsi"/>
          <w:sz w:val="22"/>
        </w:rPr>
        <w:t xml:space="preserve"> </w:t>
      </w:r>
      <w:r w:rsidR="006106B3" w:rsidRPr="000544D8">
        <w:rPr>
          <w:rFonts w:asciiTheme="minorHAnsi" w:hAnsiTheme="minorHAnsi" w:cstheme="minorHAnsi"/>
          <w:sz w:val="22"/>
        </w:rPr>
        <w:t>financial</w:t>
      </w:r>
      <w:r w:rsidRPr="000544D8">
        <w:rPr>
          <w:rFonts w:asciiTheme="minorHAnsi" w:hAnsiTheme="minorHAnsi" w:cstheme="minorHAnsi"/>
          <w:sz w:val="22"/>
        </w:rPr>
        <w:t xml:space="preserve"> requirements</w:t>
      </w:r>
      <w:r w:rsidR="006106B3" w:rsidRPr="000544D8">
        <w:rPr>
          <w:rFonts w:asciiTheme="minorHAnsi" w:hAnsiTheme="minorHAnsi" w:cstheme="minorHAnsi"/>
          <w:sz w:val="22"/>
        </w:rPr>
        <w:t xml:space="preserve">. </w:t>
      </w:r>
      <w:r w:rsidRPr="000544D8">
        <w:rPr>
          <w:rFonts w:asciiTheme="minorHAnsi" w:hAnsiTheme="minorHAnsi" w:cstheme="minorHAnsi"/>
          <w:sz w:val="22"/>
        </w:rPr>
        <w:t xml:space="preserve"> While VBP </w:t>
      </w:r>
      <w:r w:rsidR="00FF73D2" w:rsidRPr="000544D8">
        <w:rPr>
          <w:rFonts w:asciiTheme="minorHAnsi" w:hAnsiTheme="minorHAnsi" w:cstheme="minorHAnsi"/>
          <w:sz w:val="22"/>
        </w:rPr>
        <w:t>approaches</w:t>
      </w:r>
      <w:r w:rsidRPr="000544D8">
        <w:rPr>
          <w:rFonts w:asciiTheme="minorHAnsi" w:hAnsiTheme="minorHAnsi" w:cstheme="minorHAnsi"/>
          <w:sz w:val="22"/>
        </w:rPr>
        <w:t xml:space="preserve"> vary by stat</w:t>
      </w:r>
      <w:r w:rsidR="00BB005E" w:rsidRPr="000544D8">
        <w:rPr>
          <w:rFonts w:asciiTheme="minorHAnsi" w:hAnsiTheme="minorHAnsi" w:cstheme="minorHAnsi"/>
          <w:sz w:val="22"/>
        </w:rPr>
        <w:t xml:space="preserve">e, they all generally work as an accountability </w:t>
      </w:r>
      <w:r w:rsidR="00020193" w:rsidRPr="000544D8">
        <w:rPr>
          <w:rFonts w:asciiTheme="minorHAnsi" w:hAnsiTheme="minorHAnsi" w:cstheme="minorHAnsi"/>
          <w:sz w:val="22"/>
        </w:rPr>
        <w:t xml:space="preserve">tool </w:t>
      </w:r>
      <w:r w:rsidRPr="000544D8">
        <w:rPr>
          <w:rFonts w:asciiTheme="minorHAnsi" w:hAnsiTheme="minorHAnsi" w:cstheme="minorHAnsi"/>
          <w:sz w:val="22"/>
        </w:rPr>
        <w:t xml:space="preserve">that ties performance targets to contractually-specified goals. At the </w:t>
      </w:r>
      <w:r w:rsidR="00FB2E84" w:rsidRPr="000544D8">
        <w:rPr>
          <w:rFonts w:asciiTheme="minorHAnsi" w:hAnsiTheme="minorHAnsi" w:cstheme="minorHAnsi"/>
          <w:sz w:val="22"/>
        </w:rPr>
        <w:t>MCE</w:t>
      </w:r>
      <w:r w:rsidRPr="000544D8">
        <w:rPr>
          <w:rFonts w:asciiTheme="minorHAnsi" w:hAnsiTheme="minorHAnsi" w:cstheme="minorHAnsi"/>
          <w:sz w:val="22"/>
        </w:rPr>
        <w:t xml:space="preserve"> level, if the performance targets are met, the </w:t>
      </w:r>
      <w:r w:rsidR="00FB2E84" w:rsidRPr="000544D8">
        <w:rPr>
          <w:rFonts w:asciiTheme="minorHAnsi" w:hAnsiTheme="minorHAnsi" w:cstheme="minorHAnsi"/>
          <w:sz w:val="22"/>
        </w:rPr>
        <w:t>MCE</w:t>
      </w:r>
      <w:r w:rsidRPr="000544D8">
        <w:rPr>
          <w:rFonts w:asciiTheme="minorHAnsi" w:hAnsiTheme="minorHAnsi" w:cstheme="minorHAnsi"/>
          <w:sz w:val="22"/>
        </w:rPr>
        <w:t xml:space="preserve"> receives either a portion of withheld capitation payments, shared savings, </w:t>
      </w:r>
      <w:r w:rsidR="00020193" w:rsidRPr="000544D8">
        <w:rPr>
          <w:rFonts w:asciiTheme="minorHAnsi" w:hAnsiTheme="minorHAnsi" w:cstheme="minorHAnsi"/>
          <w:sz w:val="22"/>
        </w:rPr>
        <w:t>incentive payment</w:t>
      </w:r>
      <w:r w:rsidRPr="000544D8">
        <w:rPr>
          <w:rFonts w:asciiTheme="minorHAnsi" w:hAnsiTheme="minorHAnsi" w:cstheme="minorHAnsi"/>
          <w:sz w:val="22"/>
        </w:rPr>
        <w:t xml:space="preserve"> or other options such as auto-assignment of new members enrolling in the </w:t>
      </w:r>
      <w:r w:rsidR="00FB2E84" w:rsidRPr="000544D8">
        <w:rPr>
          <w:rFonts w:asciiTheme="minorHAnsi" w:hAnsiTheme="minorHAnsi" w:cstheme="minorHAnsi"/>
          <w:sz w:val="22"/>
        </w:rPr>
        <w:t>MCE</w:t>
      </w:r>
      <w:r w:rsidRPr="000544D8">
        <w:rPr>
          <w:rFonts w:asciiTheme="minorHAnsi" w:hAnsiTheme="minorHAnsi" w:cstheme="minorHAnsi"/>
          <w:sz w:val="22"/>
        </w:rPr>
        <w:t xml:space="preserve"> program.  If the </w:t>
      </w:r>
      <w:r w:rsidR="00FB2E84" w:rsidRPr="000544D8">
        <w:rPr>
          <w:rFonts w:asciiTheme="minorHAnsi" w:hAnsiTheme="minorHAnsi" w:cstheme="minorHAnsi"/>
          <w:sz w:val="22"/>
        </w:rPr>
        <w:t>MCE</w:t>
      </w:r>
      <w:r w:rsidR="00120471" w:rsidRPr="000544D8">
        <w:rPr>
          <w:rFonts w:asciiTheme="minorHAnsi" w:hAnsiTheme="minorHAnsi" w:cstheme="minorHAnsi"/>
          <w:sz w:val="22"/>
        </w:rPr>
        <w:t xml:space="preserve"> does not meet the target, </w:t>
      </w:r>
      <w:r w:rsidRPr="000544D8">
        <w:rPr>
          <w:rFonts w:asciiTheme="minorHAnsi" w:hAnsiTheme="minorHAnsi" w:cstheme="minorHAnsi"/>
          <w:sz w:val="22"/>
        </w:rPr>
        <w:t xml:space="preserve">they are </w:t>
      </w:r>
      <w:r w:rsidR="00120471" w:rsidRPr="000544D8">
        <w:rPr>
          <w:rFonts w:asciiTheme="minorHAnsi" w:hAnsiTheme="minorHAnsi" w:cstheme="minorHAnsi"/>
          <w:sz w:val="22"/>
        </w:rPr>
        <w:t xml:space="preserve">typically </w:t>
      </w:r>
      <w:r w:rsidRPr="000544D8">
        <w:rPr>
          <w:rFonts w:asciiTheme="minorHAnsi" w:hAnsiTheme="minorHAnsi" w:cstheme="minorHAnsi"/>
          <w:sz w:val="22"/>
        </w:rPr>
        <w:t xml:space="preserve">ineligible for payment and the state retains the funds or </w:t>
      </w:r>
      <w:r w:rsidR="00120471" w:rsidRPr="000544D8">
        <w:rPr>
          <w:rFonts w:asciiTheme="minorHAnsi" w:hAnsiTheme="minorHAnsi" w:cstheme="minorHAnsi"/>
          <w:sz w:val="22"/>
        </w:rPr>
        <w:t>may</w:t>
      </w:r>
      <w:r w:rsidRPr="000544D8">
        <w:rPr>
          <w:rFonts w:asciiTheme="minorHAnsi" w:hAnsiTheme="minorHAnsi" w:cstheme="minorHAnsi"/>
          <w:sz w:val="22"/>
        </w:rPr>
        <w:t xml:space="preserve"> impose </w:t>
      </w:r>
      <w:r w:rsidR="00C44617" w:rsidRPr="000544D8">
        <w:rPr>
          <w:rFonts w:asciiTheme="minorHAnsi" w:hAnsiTheme="minorHAnsi" w:cstheme="minorHAnsi"/>
          <w:sz w:val="22"/>
        </w:rPr>
        <w:t xml:space="preserve">remedies available under the </w:t>
      </w:r>
      <w:r w:rsidR="00FB2E84" w:rsidRPr="000544D8">
        <w:rPr>
          <w:rFonts w:asciiTheme="minorHAnsi" w:hAnsiTheme="minorHAnsi" w:cstheme="minorHAnsi"/>
          <w:sz w:val="22"/>
        </w:rPr>
        <w:t>MCE</w:t>
      </w:r>
      <w:r w:rsidR="006C0213" w:rsidRPr="000544D8">
        <w:rPr>
          <w:rFonts w:asciiTheme="minorHAnsi" w:hAnsiTheme="minorHAnsi" w:cstheme="minorHAnsi"/>
          <w:sz w:val="22"/>
        </w:rPr>
        <w:t xml:space="preserve"> contract</w:t>
      </w:r>
      <w:r w:rsidR="00E64C38" w:rsidRPr="000544D8">
        <w:rPr>
          <w:rFonts w:asciiTheme="minorHAnsi" w:hAnsiTheme="minorHAnsi" w:cstheme="minorHAnsi"/>
          <w:sz w:val="22"/>
        </w:rPr>
        <w:t>.</w:t>
      </w:r>
      <w:r w:rsidR="00020193" w:rsidRPr="000544D8">
        <w:rPr>
          <w:rFonts w:asciiTheme="minorHAnsi" w:hAnsiTheme="minorHAnsi" w:cstheme="minorHAnsi"/>
          <w:sz w:val="22"/>
        </w:rPr>
        <w:t xml:space="preserve">  It is important to note that </w:t>
      </w:r>
      <w:r w:rsidR="00DA525D" w:rsidRPr="000544D8">
        <w:rPr>
          <w:rFonts w:asciiTheme="minorHAnsi" w:hAnsiTheme="minorHAnsi" w:cstheme="minorHAnsi"/>
          <w:sz w:val="22"/>
        </w:rPr>
        <w:t>t</w:t>
      </w:r>
      <w:r w:rsidR="00CC2CF2" w:rsidRPr="000544D8">
        <w:rPr>
          <w:rFonts w:asciiTheme="minorHAnsi" w:hAnsiTheme="minorHAnsi" w:cstheme="minorHAnsi"/>
          <w:sz w:val="22"/>
        </w:rPr>
        <w:t xml:space="preserve">he recently updated federal managed care rule places restrictions on incentive </w:t>
      </w:r>
      <w:r w:rsidR="00C44617" w:rsidRPr="000544D8">
        <w:rPr>
          <w:rFonts w:asciiTheme="minorHAnsi" w:hAnsiTheme="minorHAnsi" w:cstheme="minorHAnsi"/>
          <w:sz w:val="22"/>
        </w:rPr>
        <w:t xml:space="preserve">and withhold arrangements with </w:t>
      </w:r>
      <w:r w:rsidR="00FB2E84" w:rsidRPr="000544D8">
        <w:rPr>
          <w:rFonts w:asciiTheme="minorHAnsi" w:hAnsiTheme="minorHAnsi" w:cstheme="minorHAnsi"/>
          <w:sz w:val="22"/>
        </w:rPr>
        <w:t>MCE</w:t>
      </w:r>
      <w:r w:rsidR="00CC2CF2" w:rsidRPr="000544D8">
        <w:rPr>
          <w:rFonts w:asciiTheme="minorHAnsi" w:hAnsiTheme="minorHAnsi" w:cstheme="minorHAnsi"/>
          <w:sz w:val="22"/>
        </w:rPr>
        <w:t xml:space="preserve">s. </w:t>
      </w:r>
      <w:r w:rsidR="00020193" w:rsidRPr="000544D8">
        <w:rPr>
          <w:rFonts w:asciiTheme="minorHAnsi" w:hAnsiTheme="minorHAnsi" w:cstheme="minorHAnsi"/>
          <w:sz w:val="22"/>
        </w:rPr>
        <w:t xml:space="preserve"> This approach is permissible if the payments align with performance outcomes targeted in the state’s Quality Plan but must be approved annually by CMS.</w:t>
      </w:r>
      <w:r w:rsidR="00CC2CF2" w:rsidRPr="000544D8">
        <w:rPr>
          <w:rFonts w:asciiTheme="minorHAnsi" w:hAnsiTheme="minorHAnsi" w:cstheme="minorHAnsi"/>
          <w:sz w:val="22"/>
        </w:rPr>
        <w:t xml:space="preserve">  </w:t>
      </w:r>
    </w:p>
    <w:p w14:paraId="4DECFC71" w14:textId="1296A245" w:rsidR="00CE619F" w:rsidRPr="000544D8" w:rsidRDefault="00661F73" w:rsidP="00DB0CA3">
      <w:pPr>
        <w:pStyle w:val="BodyCambria10Black"/>
        <w:rPr>
          <w:rFonts w:asciiTheme="minorHAnsi" w:hAnsiTheme="minorHAnsi" w:cstheme="minorHAnsi"/>
          <w:sz w:val="22"/>
        </w:rPr>
      </w:pPr>
      <w:r w:rsidRPr="000544D8">
        <w:rPr>
          <w:rFonts w:asciiTheme="minorHAnsi" w:hAnsiTheme="minorHAnsi" w:cstheme="minorHAnsi"/>
          <w:sz w:val="22"/>
        </w:rPr>
        <w:t xml:space="preserve">Drawing from </w:t>
      </w:r>
      <w:r w:rsidR="00780777" w:rsidRPr="000544D8">
        <w:rPr>
          <w:rFonts w:asciiTheme="minorHAnsi" w:hAnsiTheme="minorHAnsi" w:cstheme="minorHAnsi"/>
          <w:sz w:val="22"/>
        </w:rPr>
        <w:t xml:space="preserve">a </w:t>
      </w:r>
      <w:r w:rsidR="007B2F63" w:rsidRPr="000544D8">
        <w:rPr>
          <w:rFonts w:asciiTheme="minorHAnsi" w:hAnsiTheme="minorHAnsi" w:cstheme="minorHAnsi"/>
          <w:sz w:val="22"/>
        </w:rPr>
        <w:t xml:space="preserve">Center for Health Care Strategies (CHCS) </w:t>
      </w:r>
      <w:r w:rsidRPr="000544D8">
        <w:rPr>
          <w:rFonts w:asciiTheme="minorHAnsi" w:hAnsiTheme="minorHAnsi" w:cstheme="minorHAnsi"/>
          <w:sz w:val="22"/>
        </w:rPr>
        <w:t>analysis</w:t>
      </w:r>
      <w:r w:rsidR="00E50A8B" w:rsidRPr="000544D8">
        <w:rPr>
          <w:rFonts w:asciiTheme="minorHAnsi" w:hAnsiTheme="minorHAnsi" w:cstheme="minorHAnsi"/>
          <w:sz w:val="22"/>
        </w:rPr>
        <w:t xml:space="preserve"> and Myers and Stauffer’s industry experience</w:t>
      </w:r>
      <w:r w:rsidRPr="000544D8">
        <w:rPr>
          <w:rFonts w:asciiTheme="minorHAnsi" w:hAnsiTheme="minorHAnsi" w:cstheme="minorHAnsi"/>
          <w:sz w:val="22"/>
        </w:rPr>
        <w:t>, presented below are high-level</w:t>
      </w:r>
      <w:r w:rsidR="007B2F63" w:rsidRPr="000544D8">
        <w:rPr>
          <w:rFonts w:asciiTheme="minorHAnsi" w:hAnsiTheme="minorHAnsi" w:cstheme="minorHAnsi"/>
          <w:sz w:val="22"/>
        </w:rPr>
        <w:t xml:space="preserve"> </w:t>
      </w:r>
      <w:r w:rsidR="00780777" w:rsidRPr="000544D8">
        <w:rPr>
          <w:rFonts w:asciiTheme="minorHAnsi" w:hAnsiTheme="minorHAnsi" w:cstheme="minorHAnsi"/>
          <w:sz w:val="22"/>
        </w:rPr>
        <w:t xml:space="preserve">contracting </w:t>
      </w:r>
      <w:r w:rsidR="007B2F63" w:rsidRPr="000544D8">
        <w:rPr>
          <w:rFonts w:asciiTheme="minorHAnsi" w:hAnsiTheme="minorHAnsi" w:cstheme="minorHAnsi"/>
          <w:sz w:val="22"/>
        </w:rPr>
        <w:t>approaches to</w:t>
      </w:r>
      <w:r w:rsidRPr="000544D8">
        <w:rPr>
          <w:rFonts w:asciiTheme="minorHAnsi" w:hAnsiTheme="minorHAnsi" w:cstheme="minorHAnsi"/>
          <w:sz w:val="22"/>
        </w:rPr>
        <w:t xml:space="preserve"> VBP </w:t>
      </w:r>
      <w:r w:rsidR="007B428C" w:rsidRPr="000544D8">
        <w:rPr>
          <w:rFonts w:asciiTheme="minorHAnsi" w:hAnsiTheme="minorHAnsi" w:cstheme="minorHAnsi"/>
          <w:sz w:val="22"/>
        </w:rPr>
        <w:t>model</w:t>
      </w:r>
      <w:r w:rsidR="000316FF" w:rsidRPr="000544D8">
        <w:rPr>
          <w:rFonts w:asciiTheme="minorHAnsi" w:hAnsiTheme="minorHAnsi" w:cstheme="minorHAnsi"/>
          <w:sz w:val="22"/>
        </w:rPr>
        <w:t xml:space="preserve">s </w:t>
      </w:r>
      <w:r w:rsidRPr="000544D8">
        <w:rPr>
          <w:rFonts w:asciiTheme="minorHAnsi" w:hAnsiTheme="minorHAnsi" w:cstheme="minorHAnsi"/>
          <w:sz w:val="22"/>
        </w:rPr>
        <w:t>in Medicaid managed care</w:t>
      </w:r>
      <w:r w:rsidR="007B2F63" w:rsidRPr="000544D8">
        <w:rPr>
          <w:rFonts w:asciiTheme="minorHAnsi" w:hAnsiTheme="minorHAnsi" w:cstheme="minorHAnsi"/>
          <w:sz w:val="22"/>
        </w:rPr>
        <w:t>:</w:t>
      </w:r>
      <w:r w:rsidR="007B2F63" w:rsidRPr="000544D8">
        <w:rPr>
          <w:rStyle w:val="EndnoteReference"/>
          <w:rFonts w:asciiTheme="minorHAnsi" w:hAnsiTheme="minorHAnsi" w:cstheme="minorHAnsi"/>
          <w:sz w:val="22"/>
        </w:rPr>
        <w:endnoteReference w:id="5"/>
      </w:r>
    </w:p>
    <w:p w14:paraId="179D57E4" w14:textId="30995CB9" w:rsidR="00661F73" w:rsidRPr="000544D8" w:rsidRDefault="00051926" w:rsidP="007768AB">
      <w:pPr>
        <w:pStyle w:val="BodyCambria10Black"/>
        <w:numPr>
          <w:ilvl w:val="0"/>
          <w:numId w:val="15"/>
        </w:numPr>
        <w:spacing w:after="120" w:line="240" w:lineRule="auto"/>
        <w:rPr>
          <w:rFonts w:asciiTheme="minorHAnsi" w:hAnsiTheme="minorHAnsi" w:cstheme="minorHAnsi"/>
          <w:i/>
          <w:sz w:val="22"/>
        </w:rPr>
      </w:pPr>
      <w:r w:rsidRPr="000544D8">
        <w:rPr>
          <w:rFonts w:asciiTheme="minorHAnsi" w:hAnsiTheme="minorHAnsi" w:cstheme="minorHAnsi"/>
          <w:i/>
          <w:sz w:val="22"/>
        </w:rPr>
        <w:t xml:space="preserve">Require </w:t>
      </w:r>
      <w:r w:rsidR="00FB2E84" w:rsidRPr="000544D8">
        <w:rPr>
          <w:rFonts w:asciiTheme="minorHAnsi" w:hAnsiTheme="minorHAnsi" w:cstheme="minorHAnsi"/>
          <w:i/>
          <w:sz w:val="22"/>
        </w:rPr>
        <w:t>MCE</w:t>
      </w:r>
      <w:r w:rsidRPr="000544D8">
        <w:rPr>
          <w:rFonts w:asciiTheme="minorHAnsi" w:hAnsiTheme="minorHAnsi" w:cstheme="minorHAnsi"/>
          <w:i/>
          <w:sz w:val="22"/>
        </w:rPr>
        <w:t xml:space="preserve">s to meet </w:t>
      </w:r>
      <w:r w:rsidR="00E778AF" w:rsidRPr="000544D8">
        <w:rPr>
          <w:rFonts w:asciiTheme="minorHAnsi" w:hAnsiTheme="minorHAnsi" w:cstheme="minorHAnsi"/>
          <w:i/>
          <w:sz w:val="22"/>
        </w:rPr>
        <w:t xml:space="preserve">contractual </w:t>
      </w:r>
      <w:r w:rsidRPr="000544D8">
        <w:rPr>
          <w:rFonts w:asciiTheme="minorHAnsi" w:hAnsiTheme="minorHAnsi" w:cstheme="minorHAnsi"/>
          <w:i/>
          <w:sz w:val="22"/>
        </w:rPr>
        <w:t>performance targets tied to financial incentives</w:t>
      </w:r>
      <w:r w:rsidR="00311289">
        <w:rPr>
          <w:rFonts w:asciiTheme="minorHAnsi" w:hAnsiTheme="minorHAnsi" w:cstheme="minorHAnsi"/>
          <w:i/>
          <w:sz w:val="22"/>
        </w:rPr>
        <w:t>.</w:t>
      </w:r>
      <w:r w:rsidR="00661F73" w:rsidRPr="000544D8">
        <w:rPr>
          <w:rFonts w:asciiTheme="minorHAnsi" w:hAnsiTheme="minorHAnsi" w:cstheme="minorHAnsi"/>
          <w:i/>
          <w:sz w:val="22"/>
        </w:rPr>
        <w:t xml:space="preserve"> </w:t>
      </w:r>
    </w:p>
    <w:p w14:paraId="0A417B55" w14:textId="158615A6" w:rsidR="00661F73" w:rsidRPr="000544D8" w:rsidRDefault="00FB2E84" w:rsidP="00C97A5F">
      <w:pPr>
        <w:pStyle w:val="BodyCambria10Black"/>
        <w:ind w:left="720"/>
        <w:rPr>
          <w:rFonts w:asciiTheme="minorHAnsi" w:hAnsiTheme="minorHAnsi" w:cstheme="minorHAnsi"/>
          <w:sz w:val="22"/>
        </w:rPr>
      </w:pPr>
      <w:r w:rsidRPr="000544D8">
        <w:rPr>
          <w:rFonts w:asciiTheme="minorHAnsi" w:hAnsiTheme="minorHAnsi" w:cstheme="minorHAnsi"/>
          <w:sz w:val="22"/>
        </w:rPr>
        <w:t>MCE</w:t>
      </w:r>
      <w:r w:rsidR="00661F73" w:rsidRPr="000544D8">
        <w:rPr>
          <w:rFonts w:asciiTheme="minorHAnsi" w:hAnsiTheme="minorHAnsi" w:cstheme="minorHAnsi"/>
          <w:sz w:val="22"/>
        </w:rPr>
        <w:t xml:space="preserve">s </w:t>
      </w:r>
      <w:r w:rsidR="00780777" w:rsidRPr="000544D8">
        <w:rPr>
          <w:rFonts w:asciiTheme="minorHAnsi" w:hAnsiTheme="minorHAnsi" w:cstheme="minorHAnsi"/>
          <w:sz w:val="22"/>
        </w:rPr>
        <w:t xml:space="preserve">must </w:t>
      </w:r>
      <w:r w:rsidR="00051926" w:rsidRPr="000544D8">
        <w:rPr>
          <w:rFonts w:asciiTheme="minorHAnsi" w:hAnsiTheme="minorHAnsi" w:cstheme="minorHAnsi"/>
          <w:sz w:val="22"/>
        </w:rPr>
        <w:t xml:space="preserve">meet annual </w:t>
      </w:r>
      <w:r w:rsidR="00BA001F" w:rsidRPr="000544D8">
        <w:rPr>
          <w:rFonts w:asciiTheme="minorHAnsi" w:hAnsiTheme="minorHAnsi" w:cstheme="minorHAnsi"/>
          <w:sz w:val="22"/>
        </w:rPr>
        <w:t xml:space="preserve">contractual </w:t>
      </w:r>
      <w:r w:rsidR="00051926" w:rsidRPr="000544D8">
        <w:rPr>
          <w:rFonts w:asciiTheme="minorHAnsi" w:hAnsiTheme="minorHAnsi" w:cstheme="minorHAnsi"/>
          <w:sz w:val="22"/>
        </w:rPr>
        <w:t>performance targets</w:t>
      </w:r>
      <w:r w:rsidR="00780777" w:rsidRPr="000544D8">
        <w:rPr>
          <w:rFonts w:asciiTheme="minorHAnsi" w:hAnsiTheme="minorHAnsi" w:cstheme="minorHAnsi"/>
          <w:sz w:val="22"/>
        </w:rPr>
        <w:t xml:space="preserve">. </w:t>
      </w:r>
      <w:r w:rsidR="002D05B9" w:rsidRPr="000544D8">
        <w:rPr>
          <w:rFonts w:asciiTheme="minorHAnsi" w:hAnsiTheme="minorHAnsi" w:cstheme="minorHAnsi"/>
          <w:sz w:val="22"/>
        </w:rPr>
        <w:t>T</w:t>
      </w:r>
      <w:r w:rsidR="00051926" w:rsidRPr="000544D8">
        <w:rPr>
          <w:rFonts w:asciiTheme="minorHAnsi" w:hAnsiTheme="minorHAnsi" w:cstheme="minorHAnsi"/>
          <w:sz w:val="22"/>
        </w:rPr>
        <w:t xml:space="preserve">he </w:t>
      </w:r>
      <w:r w:rsidRPr="000544D8">
        <w:rPr>
          <w:rFonts w:asciiTheme="minorHAnsi" w:hAnsiTheme="minorHAnsi" w:cstheme="minorHAnsi"/>
          <w:sz w:val="22"/>
        </w:rPr>
        <w:t>MCE</w:t>
      </w:r>
      <w:r w:rsidR="00051926" w:rsidRPr="000544D8">
        <w:rPr>
          <w:rFonts w:asciiTheme="minorHAnsi" w:hAnsiTheme="minorHAnsi" w:cstheme="minorHAnsi"/>
          <w:sz w:val="22"/>
        </w:rPr>
        <w:t xml:space="preserve"> </w:t>
      </w:r>
      <w:r w:rsidR="002D05B9" w:rsidRPr="000544D8">
        <w:rPr>
          <w:rFonts w:asciiTheme="minorHAnsi" w:hAnsiTheme="minorHAnsi" w:cstheme="minorHAnsi"/>
          <w:sz w:val="22"/>
        </w:rPr>
        <w:t xml:space="preserve">has the flexibility </w:t>
      </w:r>
      <w:r w:rsidR="00051926" w:rsidRPr="000544D8">
        <w:rPr>
          <w:rFonts w:asciiTheme="minorHAnsi" w:hAnsiTheme="minorHAnsi" w:cstheme="minorHAnsi"/>
          <w:sz w:val="22"/>
        </w:rPr>
        <w:t xml:space="preserve">to design </w:t>
      </w:r>
      <w:r w:rsidR="002D05B9" w:rsidRPr="000544D8">
        <w:rPr>
          <w:rFonts w:asciiTheme="minorHAnsi" w:hAnsiTheme="minorHAnsi" w:cstheme="minorHAnsi"/>
          <w:sz w:val="22"/>
        </w:rPr>
        <w:t xml:space="preserve">its own </w:t>
      </w:r>
      <w:r w:rsidR="00051926" w:rsidRPr="000544D8">
        <w:rPr>
          <w:rFonts w:asciiTheme="minorHAnsi" w:hAnsiTheme="minorHAnsi" w:cstheme="minorHAnsi"/>
          <w:sz w:val="22"/>
        </w:rPr>
        <w:t>approach to ensure the performance targets are met</w:t>
      </w:r>
      <w:r w:rsidR="002D05B9" w:rsidRPr="000544D8">
        <w:rPr>
          <w:rFonts w:asciiTheme="minorHAnsi" w:hAnsiTheme="minorHAnsi" w:cstheme="minorHAnsi"/>
          <w:sz w:val="22"/>
        </w:rPr>
        <w:t xml:space="preserve"> (e.g., the contract does not require the </w:t>
      </w:r>
      <w:r w:rsidRPr="000544D8">
        <w:rPr>
          <w:rFonts w:asciiTheme="minorHAnsi" w:hAnsiTheme="minorHAnsi" w:cstheme="minorHAnsi"/>
          <w:sz w:val="22"/>
        </w:rPr>
        <w:t>MCE</w:t>
      </w:r>
      <w:r w:rsidR="002D05B9" w:rsidRPr="000544D8">
        <w:rPr>
          <w:rFonts w:asciiTheme="minorHAnsi" w:hAnsiTheme="minorHAnsi" w:cstheme="minorHAnsi"/>
          <w:sz w:val="22"/>
        </w:rPr>
        <w:t xml:space="preserve"> to incorporate VBP requirements in its provider contracts, but the </w:t>
      </w:r>
      <w:r w:rsidRPr="000544D8">
        <w:rPr>
          <w:rFonts w:asciiTheme="minorHAnsi" w:hAnsiTheme="minorHAnsi" w:cstheme="minorHAnsi"/>
          <w:sz w:val="22"/>
        </w:rPr>
        <w:t>MCE</w:t>
      </w:r>
      <w:r w:rsidR="002D05B9" w:rsidRPr="000544D8">
        <w:rPr>
          <w:rFonts w:asciiTheme="minorHAnsi" w:hAnsiTheme="minorHAnsi" w:cstheme="minorHAnsi"/>
          <w:sz w:val="22"/>
        </w:rPr>
        <w:t xml:space="preserve"> may elect to do so)</w:t>
      </w:r>
      <w:r w:rsidR="000F2995" w:rsidRPr="000544D8">
        <w:rPr>
          <w:rFonts w:asciiTheme="minorHAnsi" w:hAnsiTheme="minorHAnsi" w:cstheme="minorHAnsi"/>
          <w:sz w:val="22"/>
        </w:rPr>
        <w:t xml:space="preserve">.  For example, the FY 2017 </w:t>
      </w:r>
      <w:r w:rsidR="00051926" w:rsidRPr="000544D8">
        <w:rPr>
          <w:rFonts w:asciiTheme="minorHAnsi" w:hAnsiTheme="minorHAnsi" w:cstheme="minorHAnsi"/>
          <w:sz w:val="22"/>
        </w:rPr>
        <w:t>Georgia Families</w:t>
      </w:r>
      <w:r w:rsidR="0028088B" w:rsidRPr="000544D8">
        <w:rPr>
          <w:rFonts w:asciiTheme="minorHAnsi" w:hAnsiTheme="minorHAnsi" w:cstheme="minorHAnsi"/>
          <w:sz w:val="22"/>
        </w:rPr>
        <w:t xml:space="preserve"> 360</w:t>
      </w:r>
      <w:r w:rsidR="000F2995" w:rsidRPr="000544D8">
        <w:rPr>
          <w:rFonts w:asciiTheme="minorHAnsi" w:hAnsiTheme="minorHAnsi" w:cstheme="minorHAnsi"/>
          <w:sz w:val="22"/>
        </w:rPr>
        <w:t xml:space="preserve"> contract</w:t>
      </w:r>
      <w:r w:rsidR="0028088B" w:rsidRPr="000544D8">
        <w:rPr>
          <w:rFonts w:asciiTheme="minorHAnsi" w:hAnsiTheme="minorHAnsi" w:cstheme="minorHAnsi"/>
          <w:sz w:val="22"/>
        </w:rPr>
        <w:t xml:space="preserve"> </w:t>
      </w:r>
      <w:r w:rsidR="00051926" w:rsidRPr="000544D8">
        <w:rPr>
          <w:rFonts w:asciiTheme="minorHAnsi" w:hAnsiTheme="minorHAnsi" w:cstheme="minorHAnsi"/>
          <w:sz w:val="22"/>
        </w:rPr>
        <w:t>include</w:t>
      </w:r>
      <w:r w:rsidR="00C44617" w:rsidRPr="000544D8">
        <w:rPr>
          <w:rFonts w:asciiTheme="minorHAnsi" w:hAnsiTheme="minorHAnsi" w:cstheme="minorHAnsi"/>
          <w:sz w:val="22"/>
        </w:rPr>
        <w:t>d</w:t>
      </w:r>
      <w:r w:rsidR="00051926" w:rsidRPr="000544D8">
        <w:rPr>
          <w:rFonts w:asciiTheme="minorHAnsi" w:hAnsiTheme="minorHAnsi" w:cstheme="minorHAnsi"/>
          <w:sz w:val="22"/>
        </w:rPr>
        <w:t xml:space="preserve"> a value based payment provision in which the</w:t>
      </w:r>
      <w:r w:rsidR="00780777" w:rsidRPr="000544D8">
        <w:rPr>
          <w:rFonts w:asciiTheme="minorHAnsi" w:hAnsiTheme="minorHAnsi" w:cstheme="minorHAnsi"/>
          <w:sz w:val="22"/>
        </w:rPr>
        <w:t xml:space="preserve"> </w:t>
      </w:r>
      <w:r w:rsidR="007B428C" w:rsidRPr="000544D8">
        <w:rPr>
          <w:rFonts w:asciiTheme="minorHAnsi" w:hAnsiTheme="minorHAnsi" w:cstheme="minorHAnsi"/>
          <w:sz w:val="22"/>
        </w:rPr>
        <w:t>s</w:t>
      </w:r>
      <w:r w:rsidR="00780777" w:rsidRPr="000544D8">
        <w:rPr>
          <w:rFonts w:asciiTheme="minorHAnsi" w:hAnsiTheme="minorHAnsi" w:cstheme="minorHAnsi"/>
          <w:sz w:val="22"/>
        </w:rPr>
        <w:t>tate</w:t>
      </w:r>
      <w:r w:rsidR="00051926" w:rsidRPr="000544D8">
        <w:rPr>
          <w:rFonts w:asciiTheme="minorHAnsi" w:hAnsiTheme="minorHAnsi" w:cstheme="minorHAnsi"/>
          <w:sz w:val="22"/>
        </w:rPr>
        <w:t xml:space="preserve"> withh</w:t>
      </w:r>
      <w:r w:rsidR="003D7288" w:rsidRPr="000544D8">
        <w:rPr>
          <w:rFonts w:asciiTheme="minorHAnsi" w:hAnsiTheme="minorHAnsi" w:cstheme="minorHAnsi"/>
          <w:sz w:val="22"/>
        </w:rPr>
        <w:t>eld</w:t>
      </w:r>
      <w:r w:rsidR="00051926" w:rsidRPr="000544D8">
        <w:rPr>
          <w:rFonts w:asciiTheme="minorHAnsi" w:hAnsiTheme="minorHAnsi" w:cstheme="minorHAnsi"/>
          <w:sz w:val="22"/>
        </w:rPr>
        <w:t xml:space="preserve"> five percent of </w:t>
      </w:r>
      <w:r w:rsidRPr="000544D8">
        <w:rPr>
          <w:rFonts w:asciiTheme="minorHAnsi" w:hAnsiTheme="minorHAnsi" w:cstheme="minorHAnsi"/>
          <w:sz w:val="22"/>
        </w:rPr>
        <w:t>MCE</w:t>
      </w:r>
      <w:r w:rsidR="00051926" w:rsidRPr="000544D8">
        <w:rPr>
          <w:rFonts w:asciiTheme="minorHAnsi" w:hAnsiTheme="minorHAnsi" w:cstheme="minorHAnsi"/>
          <w:sz w:val="22"/>
        </w:rPr>
        <w:t xml:space="preserve"> capitation payment</w:t>
      </w:r>
      <w:r w:rsidR="000F2995" w:rsidRPr="000544D8">
        <w:rPr>
          <w:rFonts w:asciiTheme="minorHAnsi" w:hAnsiTheme="minorHAnsi" w:cstheme="minorHAnsi"/>
          <w:sz w:val="22"/>
        </w:rPr>
        <w:t xml:space="preserve">s to be paid to </w:t>
      </w:r>
      <w:r w:rsidRPr="000544D8">
        <w:rPr>
          <w:rFonts w:asciiTheme="minorHAnsi" w:hAnsiTheme="minorHAnsi" w:cstheme="minorHAnsi"/>
          <w:sz w:val="22"/>
        </w:rPr>
        <w:t>MCE</w:t>
      </w:r>
      <w:r w:rsidR="000F2995" w:rsidRPr="000544D8">
        <w:rPr>
          <w:rFonts w:asciiTheme="minorHAnsi" w:hAnsiTheme="minorHAnsi" w:cstheme="minorHAnsi"/>
          <w:sz w:val="22"/>
        </w:rPr>
        <w:t>s if they me</w:t>
      </w:r>
      <w:r w:rsidR="00051926" w:rsidRPr="000544D8">
        <w:rPr>
          <w:rFonts w:asciiTheme="minorHAnsi" w:hAnsiTheme="minorHAnsi" w:cstheme="minorHAnsi"/>
          <w:sz w:val="22"/>
        </w:rPr>
        <w:t>t</w:t>
      </w:r>
      <w:r w:rsidR="0000626A" w:rsidRPr="000544D8">
        <w:rPr>
          <w:rFonts w:asciiTheme="minorHAnsi" w:hAnsiTheme="minorHAnsi" w:cstheme="minorHAnsi"/>
          <w:sz w:val="22"/>
        </w:rPr>
        <w:t xml:space="preserve"> specified </w:t>
      </w:r>
      <w:r w:rsidR="00051926" w:rsidRPr="000544D8">
        <w:rPr>
          <w:rFonts w:asciiTheme="minorHAnsi" w:hAnsiTheme="minorHAnsi" w:cstheme="minorHAnsi"/>
          <w:sz w:val="22"/>
        </w:rPr>
        <w:t>annual performance targets.</w:t>
      </w:r>
      <w:r w:rsidR="00E17042" w:rsidRPr="000544D8">
        <w:rPr>
          <w:rFonts w:asciiTheme="minorHAnsi" w:hAnsiTheme="minorHAnsi" w:cstheme="minorHAnsi"/>
          <w:sz w:val="22"/>
        </w:rPr>
        <w:t xml:space="preserve"> </w:t>
      </w:r>
      <w:r w:rsidR="0028088B" w:rsidRPr="000544D8">
        <w:rPr>
          <w:rFonts w:asciiTheme="minorHAnsi" w:hAnsiTheme="minorHAnsi" w:cstheme="minorHAnsi"/>
          <w:sz w:val="22"/>
        </w:rPr>
        <w:t xml:space="preserve">This </w:t>
      </w:r>
      <w:r w:rsidR="00E778AF" w:rsidRPr="000544D8">
        <w:rPr>
          <w:rFonts w:asciiTheme="minorHAnsi" w:hAnsiTheme="minorHAnsi" w:cstheme="minorHAnsi"/>
          <w:sz w:val="22"/>
        </w:rPr>
        <w:t>contract d</w:t>
      </w:r>
      <w:r w:rsidR="0028088B" w:rsidRPr="000544D8">
        <w:rPr>
          <w:rFonts w:asciiTheme="minorHAnsi" w:hAnsiTheme="minorHAnsi" w:cstheme="minorHAnsi"/>
          <w:sz w:val="22"/>
        </w:rPr>
        <w:t>id</w:t>
      </w:r>
      <w:r w:rsidR="00E778AF" w:rsidRPr="000544D8">
        <w:rPr>
          <w:rFonts w:asciiTheme="minorHAnsi" w:hAnsiTheme="minorHAnsi" w:cstheme="minorHAnsi"/>
          <w:sz w:val="22"/>
        </w:rPr>
        <w:t xml:space="preserve"> not specify how the </w:t>
      </w:r>
      <w:r w:rsidRPr="000544D8">
        <w:rPr>
          <w:rFonts w:asciiTheme="minorHAnsi" w:hAnsiTheme="minorHAnsi" w:cstheme="minorHAnsi"/>
          <w:sz w:val="22"/>
        </w:rPr>
        <w:t>MCE</w:t>
      </w:r>
      <w:r w:rsidR="00E778AF" w:rsidRPr="000544D8">
        <w:rPr>
          <w:rFonts w:asciiTheme="minorHAnsi" w:hAnsiTheme="minorHAnsi" w:cstheme="minorHAnsi"/>
          <w:sz w:val="22"/>
        </w:rPr>
        <w:t>s should go about meeting these targets.</w:t>
      </w:r>
      <w:r w:rsidR="00E17042" w:rsidRPr="000544D8">
        <w:rPr>
          <w:rFonts w:asciiTheme="minorHAnsi" w:hAnsiTheme="minorHAnsi" w:cstheme="minorHAnsi"/>
          <w:sz w:val="22"/>
        </w:rPr>
        <w:t xml:space="preserve"> </w:t>
      </w:r>
      <w:r w:rsidR="0028088B" w:rsidRPr="000544D8">
        <w:rPr>
          <w:rFonts w:asciiTheme="minorHAnsi" w:hAnsiTheme="minorHAnsi" w:cstheme="minorHAnsi"/>
          <w:sz w:val="22"/>
        </w:rPr>
        <w:t xml:space="preserve"> The FY 2018 contracts for Georgia Families and Georgia Families 360 include</w:t>
      </w:r>
      <w:r w:rsidR="00CF0D4C">
        <w:rPr>
          <w:rFonts w:asciiTheme="minorHAnsi" w:hAnsiTheme="minorHAnsi" w:cstheme="minorHAnsi"/>
          <w:sz w:val="22"/>
        </w:rPr>
        <w:t>s</w:t>
      </w:r>
      <w:r w:rsidR="0028088B" w:rsidRPr="000544D8">
        <w:rPr>
          <w:rFonts w:asciiTheme="minorHAnsi" w:hAnsiTheme="minorHAnsi" w:cstheme="minorHAnsi"/>
          <w:sz w:val="22"/>
        </w:rPr>
        <w:t xml:space="preserve"> a new </w:t>
      </w:r>
      <w:r w:rsidR="002E13B3" w:rsidRPr="000544D8">
        <w:rPr>
          <w:rFonts w:asciiTheme="minorHAnsi" w:hAnsiTheme="minorHAnsi" w:cstheme="minorHAnsi"/>
          <w:sz w:val="22"/>
        </w:rPr>
        <w:t xml:space="preserve">approach </w:t>
      </w:r>
      <w:r w:rsidR="0028088B" w:rsidRPr="000544D8">
        <w:rPr>
          <w:rFonts w:asciiTheme="minorHAnsi" w:hAnsiTheme="minorHAnsi" w:cstheme="minorHAnsi"/>
          <w:sz w:val="22"/>
        </w:rPr>
        <w:t xml:space="preserve">in which </w:t>
      </w:r>
      <w:r w:rsidR="002E13B3" w:rsidRPr="000544D8">
        <w:rPr>
          <w:rFonts w:asciiTheme="minorHAnsi" w:hAnsiTheme="minorHAnsi" w:cstheme="minorHAnsi"/>
          <w:sz w:val="22"/>
        </w:rPr>
        <w:t>50</w:t>
      </w:r>
      <w:r w:rsidR="00CF0D4C">
        <w:rPr>
          <w:rFonts w:asciiTheme="minorHAnsi" w:hAnsiTheme="minorHAnsi" w:cstheme="minorHAnsi"/>
          <w:sz w:val="22"/>
        </w:rPr>
        <w:t xml:space="preserve"> percent</w:t>
      </w:r>
      <w:r w:rsidR="002E13B3" w:rsidRPr="000544D8">
        <w:rPr>
          <w:rFonts w:asciiTheme="minorHAnsi" w:hAnsiTheme="minorHAnsi" w:cstheme="minorHAnsi"/>
          <w:sz w:val="22"/>
        </w:rPr>
        <w:t xml:space="preserve"> of the withhold amount </w:t>
      </w:r>
      <w:r w:rsidR="0028088B" w:rsidRPr="000544D8">
        <w:rPr>
          <w:rFonts w:asciiTheme="minorHAnsi" w:hAnsiTheme="minorHAnsi" w:cstheme="minorHAnsi"/>
          <w:sz w:val="22"/>
        </w:rPr>
        <w:t xml:space="preserve">must </w:t>
      </w:r>
      <w:r w:rsidR="002E13B3" w:rsidRPr="000544D8">
        <w:rPr>
          <w:rFonts w:asciiTheme="minorHAnsi" w:hAnsiTheme="minorHAnsi" w:cstheme="minorHAnsi"/>
          <w:sz w:val="22"/>
        </w:rPr>
        <w:t xml:space="preserve">be passed through to </w:t>
      </w:r>
      <w:r w:rsidRPr="000544D8">
        <w:rPr>
          <w:rFonts w:asciiTheme="minorHAnsi" w:hAnsiTheme="minorHAnsi" w:cstheme="minorHAnsi"/>
          <w:sz w:val="22"/>
        </w:rPr>
        <w:t>MCE</w:t>
      </w:r>
      <w:r w:rsidR="002E13B3" w:rsidRPr="000544D8">
        <w:rPr>
          <w:rFonts w:asciiTheme="minorHAnsi" w:hAnsiTheme="minorHAnsi" w:cstheme="minorHAnsi"/>
          <w:sz w:val="22"/>
        </w:rPr>
        <w:t xml:space="preserve"> providers as an incentive payment.  Georgia has delayed implementation of this provision pending guidance from CMS</w:t>
      </w:r>
      <w:r w:rsidR="00DA525D" w:rsidRPr="000544D8">
        <w:rPr>
          <w:rFonts w:asciiTheme="minorHAnsi" w:hAnsiTheme="minorHAnsi" w:cstheme="minorHAnsi"/>
          <w:sz w:val="22"/>
        </w:rPr>
        <w:t xml:space="preserve"> regarding </w:t>
      </w:r>
      <w:r w:rsidRPr="000544D8">
        <w:rPr>
          <w:rFonts w:asciiTheme="minorHAnsi" w:hAnsiTheme="minorHAnsi" w:cstheme="minorHAnsi"/>
          <w:sz w:val="22"/>
        </w:rPr>
        <w:t>MCE</w:t>
      </w:r>
      <w:r w:rsidR="00DA525D" w:rsidRPr="000544D8">
        <w:rPr>
          <w:rFonts w:asciiTheme="minorHAnsi" w:hAnsiTheme="minorHAnsi" w:cstheme="minorHAnsi"/>
          <w:sz w:val="22"/>
        </w:rPr>
        <w:t xml:space="preserve"> federal rule requirements</w:t>
      </w:r>
      <w:r w:rsidR="002E13B3" w:rsidRPr="000544D8">
        <w:rPr>
          <w:rFonts w:asciiTheme="minorHAnsi" w:hAnsiTheme="minorHAnsi" w:cstheme="minorHAnsi"/>
          <w:sz w:val="22"/>
        </w:rPr>
        <w:t xml:space="preserve">.  </w:t>
      </w:r>
      <w:r w:rsidR="00DA525D" w:rsidRPr="000544D8">
        <w:rPr>
          <w:rFonts w:asciiTheme="minorHAnsi" w:hAnsiTheme="minorHAnsi" w:cstheme="minorHAnsi"/>
          <w:sz w:val="22"/>
        </w:rPr>
        <w:t xml:space="preserve">Georgia also awards member auto-assignment to the best performing plan based on </w:t>
      </w:r>
      <w:r w:rsidR="00A96E41" w:rsidRPr="000544D8">
        <w:rPr>
          <w:rFonts w:asciiTheme="minorHAnsi" w:hAnsiTheme="minorHAnsi" w:cstheme="minorHAnsi"/>
          <w:sz w:val="22"/>
        </w:rPr>
        <w:t xml:space="preserve">their performance on 19 quality measures which is evaluated every six months.  </w:t>
      </w:r>
      <w:r w:rsidR="00E17042" w:rsidRPr="000544D8">
        <w:rPr>
          <w:rFonts w:asciiTheme="minorHAnsi" w:hAnsiTheme="minorHAnsi" w:cstheme="minorHAnsi"/>
          <w:sz w:val="22"/>
        </w:rPr>
        <w:t xml:space="preserve">Details are available at </w:t>
      </w:r>
      <w:hyperlink r:id="rId10" w:history="1">
        <w:r w:rsidR="0028088B" w:rsidRPr="000544D8">
          <w:rPr>
            <w:rStyle w:val="Hyperlink"/>
            <w:rFonts w:asciiTheme="minorHAnsi" w:hAnsiTheme="minorHAnsi" w:cstheme="minorHAnsi"/>
            <w:sz w:val="22"/>
          </w:rPr>
          <w:t>https://dch.georgia.gov/sites/dch.georgia.gov/files/related_files/site_page/Georgia%20Families%20360%20contract.pdf</w:t>
        </w:r>
      </w:hyperlink>
      <w:r w:rsidR="0028088B" w:rsidRPr="000544D8">
        <w:rPr>
          <w:rFonts w:asciiTheme="minorHAnsi" w:hAnsiTheme="minorHAnsi" w:cstheme="minorHAnsi"/>
          <w:sz w:val="22"/>
        </w:rPr>
        <w:t xml:space="preserve"> and </w:t>
      </w:r>
      <w:hyperlink r:id="rId11" w:history="1">
        <w:r w:rsidR="00E17042" w:rsidRPr="000544D8">
          <w:rPr>
            <w:rStyle w:val="Hyperlink"/>
            <w:rFonts w:asciiTheme="minorHAnsi" w:hAnsiTheme="minorHAnsi" w:cstheme="minorHAnsi"/>
            <w:sz w:val="22"/>
          </w:rPr>
          <w:t>https://dch.georgia.gov/sites/dch.georgia.gov/files/related_files/site_page/Georgia%20Families%20Contract%20with%20RFP.pdf</w:t>
        </w:r>
      </w:hyperlink>
      <w:r w:rsidR="00E17042" w:rsidRPr="000544D8">
        <w:rPr>
          <w:rFonts w:asciiTheme="minorHAnsi" w:hAnsiTheme="minorHAnsi" w:cstheme="minorHAnsi"/>
          <w:sz w:val="22"/>
        </w:rPr>
        <w:t xml:space="preserve">. </w:t>
      </w:r>
    </w:p>
    <w:p w14:paraId="0D251385" w14:textId="3879B81F" w:rsidR="001545BC" w:rsidRPr="000544D8" w:rsidRDefault="00051926" w:rsidP="007768AB">
      <w:pPr>
        <w:pStyle w:val="BodyCambria10Black"/>
        <w:numPr>
          <w:ilvl w:val="0"/>
          <w:numId w:val="16"/>
        </w:numPr>
        <w:spacing w:after="120" w:line="240" w:lineRule="auto"/>
        <w:rPr>
          <w:rFonts w:asciiTheme="minorHAnsi" w:hAnsiTheme="minorHAnsi" w:cstheme="minorHAnsi"/>
          <w:i/>
          <w:sz w:val="22"/>
        </w:rPr>
      </w:pPr>
      <w:r w:rsidRPr="000544D8">
        <w:rPr>
          <w:rFonts w:asciiTheme="minorHAnsi" w:hAnsiTheme="minorHAnsi" w:cstheme="minorHAnsi"/>
          <w:i/>
          <w:sz w:val="22"/>
        </w:rPr>
        <w:t xml:space="preserve">Require </w:t>
      </w:r>
      <w:r w:rsidR="00FB2E84" w:rsidRPr="000544D8">
        <w:rPr>
          <w:rFonts w:asciiTheme="minorHAnsi" w:hAnsiTheme="minorHAnsi" w:cstheme="minorHAnsi"/>
          <w:i/>
          <w:sz w:val="22"/>
        </w:rPr>
        <w:t>MCE</w:t>
      </w:r>
      <w:r w:rsidRPr="000544D8">
        <w:rPr>
          <w:rFonts w:asciiTheme="minorHAnsi" w:hAnsiTheme="minorHAnsi" w:cstheme="minorHAnsi"/>
          <w:i/>
          <w:sz w:val="22"/>
        </w:rPr>
        <w:t>s</w:t>
      </w:r>
      <w:r w:rsidR="0098714B" w:rsidRPr="000544D8">
        <w:rPr>
          <w:rFonts w:asciiTheme="minorHAnsi" w:hAnsiTheme="minorHAnsi" w:cstheme="minorHAnsi"/>
          <w:i/>
          <w:sz w:val="22"/>
        </w:rPr>
        <w:t xml:space="preserve"> to </w:t>
      </w:r>
      <w:r w:rsidRPr="000544D8">
        <w:rPr>
          <w:rFonts w:asciiTheme="minorHAnsi" w:hAnsiTheme="minorHAnsi" w:cstheme="minorHAnsi"/>
          <w:i/>
          <w:sz w:val="22"/>
        </w:rPr>
        <w:t xml:space="preserve">design and implement their own </w:t>
      </w:r>
      <w:r w:rsidR="0098714B" w:rsidRPr="000544D8">
        <w:rPr>
          <w:rFonts w:asciiTheme="minorHAnsi" w:hAnsiTheme="minorHAnsi" w:cstheme="minorHAnsi"/>
          <w:i/>
          <w:sz w:val="22"/>
        </w:rPr>
        <w:t xml:space="preserve">VBP </w:t>
      </w:r>
      <w:r w:rsidRPr="000544D8">
        <w:rPr>
          <w:rFonts w:asciiTheme="minorHAnsi" w:hAnsiTheme="minorHAnsi" w:cstheme="minorHAnsi"/>
          <w:i/>
          <w:sz w:val="22"/>
        </w:rPr>
        <w:t>models</w:t>
      </w:r>
      <w:r w:rsidR="0098714B" w:rsidRPr="000544D8">
        <w:rPr>
          <w:rFonts w:asciiTheme="minorHAnsi" w:hAnsiTheme="minorHAnsi" w:cstheme="minorHAnsi"/>
          <w:i/>
          <w:sz w:val="22"/>
        </w:rPr>
        <w:t xml:space="preserve"> subject to state approval</w:t>
      </w:r>
      <w:r w:rsidR="00311289">
        <w:rPr>
          <w:rFonts w:asciiTheme="minorHAnsi" w:hAnsiTheme="minorHAnsi" w:cstheme="minorHAnsi"/>
          <w:i/>
          <w:sz w:val="22"/>
        </w:rPr>
        <w:t>.</w:t>
      </w:r>
      <w:r w:rsidR="0098714B" w:rsidRPr="000544D8">
        <w:rPr>
          <w:rFonts w:asciiTheme="minorHAnsi" w:hAnsiTheme="minorHAnsi" w:cstheme="minorHAnsi"/>
          <w:i/>
          <w:sz w:val="22"/>
        </w:rPr>
        <w:t xml:space="preserve"> </w:t>
      </w:r>
    </w:p>
    <w:p w14:paraId="626A8C2A" w14:textId="26282E1F" w:rsidR="001545BC" w:rsidRPr="000544D8" w:rsidRDefault="00DF19A8" w:rsidP="00BD1B22">
      <w:pPr>
        <w:pStyle w:val="BodyCambria10Black"/>
        <w:ind w:left="720"/>
        <w:rPr>
          <w:rFonts w:asciiTheme="minorHAnsi" w:hAnsiTheme="minorHAnsi" w:cstheme="minorHAnsi"/>
          <w:sz w:val="22"/>
        </w:rPr>
      </w:pPr>
      <w:r w:rsidRPr="000544D8">
        <w:rPr>
          <w:rFonts w:asciiTheme="minorHAnsi" w:hAnsiTheme="minorHAnsi" w:cstheme="minorHAnsi"/>
          <w:sz w:val="22"/>
        </w:rPr>
        <w:t>The</w:t>
      </w:r>
      <w:r w:rsidR="00BD1B22" w:rsidRPr="000544D8">
        <w:rPr>
          <w:rFonts w:asciiTheme="minorHAnsi" w:hAnsiTheme="minorHAnsi" w:cstheme="minorHAnsi"/>
          <w:sz w:val="22"/>
        </w:rPr>
        <w:t xml:space="preserve"> </w:t>
      </w:r>
      <w:r w:rsidR="00FB2E84" w:rsidRPr="000544D8">
        <w:rPr>
          <w:rFonts w:asciiTheme="minorHAnsi" w:hAnsiTheme="minorHAnsi" w:cstheme="minorHAnsi"/>
          <w:sz w:val="22"/>
        </w:rPr>
        <w:t>MCE</w:t>
      </w:r>
      <w:r w:rsidR="00BD1B22" w:rsidRPr="000544D8">
        <w:rPr>
          <w:rFonts w:asciiTheme="minorHAnsi" w:hAnsiTheme="minorHAnsi" w:cstheme="minorHAnsi"/>
          <w:sz w:val="22"/>
        </w:rPr>
        <w:t xml:space="preserve"> would submit </w:t>
      </w:r>
      <w:r w:rsidR="00E50A8B" w:rsidRPr="000544D8">
        <w:rPr>
          <w:rFonts w:asciiTheme="minorHAnsi" w:hAnsiTheme="minorHAnsi" w:cstheme="minorHAnsi"/>
          <w:sz w:val="22"/>
        </w:rPr>
        <w:t xml:space="preserve">a VBP proposal </w:t>
      </w:r>
      <w:r w:rsidR="00BD1B22" w:rsidRPr="000544D8">
        <w:rPr>
          <w:rFonts w:asciiTheme="minorHAnsi" w:hAnsiTheme="minorHAnsi" w:cstheme="minorHAnsi"/>
          <w:sz w:val="22"/>
        </w:rPr>
        <w:t xml:space="preserve">to the state </w:t>
      </w:r>
      <w:r w:rsidR="00273968" w:rsidRPr="000544D8">
        <w:rPr>
          <w:rFonts w:asciiTheme="minorHAnsi" w:hAnsiTheme="minorHAnsi" w:cstheme="minorHAnsi"/>
          <w:sz w:val="22"/>
        </w:rPr>
        <w:t xml:space="preserve">that </w:t>
      </w:r>
      <w:r w:rsidR="00E50A8B" w:rsidRPr="000544D8">
        <w:rPr>
          <w:rFonts w:asciiTheme="minorHAnsi" w:hAnsiTheme="minorHAnsi" w:cstheme="minorHAnsi"/>
          <w:sz w:val="22"/>
        </w:rPr>
        <w:t xml:space="preserve">aligns with the State’s quality and outcome goals and objectives.  This proposal would include specified performance targets that are established or agreed to by the </w:t>
      </w:r>
      <w:r w:rsidR="00CF0D4C">
        <w:rPr>
          <w:rFonts w:asciiTheme="minorHAnsi" w:hAnsiTheme="minorHAnsi" w:cstheme="minorHAnsi"/>
          <w:sz w:val="22"/>
        </w:rPr>
        <w:t>s</w:t>
      </w:r>
      <w:r w:rsidR="00E50A8B" w:rsidRPr="000544D8">
        <w:rPr>
          <w:rFonts w:asciiTheme="minorHAnsi" w:hAnsiTheme="minorHAnsi" w:cstheme="minorHAnsi"/>
          <w:sz w:val="22"/>
        </w:rPr>
        <w:t xml:space="preserve">tate. </w:t>
      </w:r>
      <w:r w:rsidR="00BD1B22" w:rsidRPr="000544D8">
        <w:rPr>
          <w:rFonts w:asciiTheme="minorHAnsi" w:hAnsiTheme="minorHAnsi" w:cstheme="minorHAnsi"/>
          <w:sz w:val="22"/>
        </w:rPr>
        <w:t xml:space="preserve">The </w:t>
      </w:r>
      <w:r w:rsidR="00FB2E84" w:rsidRPr="000544D8">
        <w:rPr>
          <w:rFonts w:asciiTheme="minorHAnsi" w:hAnsiTheme="minorHAnsi" w:cstheme="minorHAnsi"/>
          <w:sz w:val="22"/>
        </w:rPr>
        <w:t>MCE</w:t>
      </w:r>
      <w:r w:rsidR="00BD1B22" w:rsidRPr="000544D8">
        <w:rPr>
          <w:rFonts w:asciiTheme="minorHAnsi" w:hAnsiTheme="minorHAnsi" w:cstheme="minorHAnsi"/>
          <w:sz w:val="22"/>
        </w:rPr>
        <w:t xml:space="preserve"> proposals would be reviewed and approved by the state.  </w:t>
      </w:r>
      <w:r w:rsidR="0098714B" w:rsidRPr="000544D8">
        <w:rPr>
          <w:rFonts w:asciiTheme="minorHAnsi" w:hAnsiTheme="minorHAnsi" w:cstheme="minorHAnsi"/>
          <w:sz w:val="22"/>
        </w:rPr>
        <w:t xml:space="preserve">The state would </w:t>
      </w:r>
      <w:r w:rsidR="00051926" w:rsidRPr="000544D8">
        <w:rPr>
          <w:rFonts w:asciiTheme="minorHAnsi" w:hAnsiTheme="minorHAnsi" w:cstheme="minorHAnsi"/>
          <w:sz w:val="22"/>
        </w:rPr>
        <w:t xml:space="preserve">then </w:t>
      </w:r>
      <w:r w:rsidR="0098714B" w:rsidRPr="000544D8">
        <w:rPr>
          <w:rFonts w:asciiTheme="minorHAnsi" w:hAnsiTheme="minorHAnsi" w:cstheme="minorHAnsi"/>
          <w:sz w:val="22"/>
        </w:rPr>
        <w:t xml:space="preserve">work closely with the </w:t>
      </w:r>
      <w:r w:rsidR="00FB2E84" w:rsidRPr="000544D8">
        <w:rPr>
          <w:rFonts w:asciiTheme="minorHAnsi" w:hAnsiTheme="minorHAnsi" w:cstheme="minorHAnsi"/>
          <w:sz w:val="22"/>
        </w:rPr>
        <w:t>MCE</w:t>
      </w:r>
      <w:r w:rsidR="0098714B" w:rsidRPr="000544D8">
        <w:rPr>
          <w:rFonts w:asciiTheme="minorHAnsi" w:hAnsiTheme="minorHAnsi" w:cstheme="minorHAnsi"/>
          <w:sz w:val="22"/>
        </w:rPr>
        <w:t xml:space="preserve"> to establish an </w:t>
      </w:r>
      <w:r w:rsidR="0098714B" w:rsidRPr="000544D8">
        <w:rPr>
          <w:rFonts w:asciiTheme="minorHAnsi" w:hAnsiTheme="minorHAnsi" w:cstheme="minorHAnsi"/>
          <w:sz w:val="22"/>
        </w:rPr>
        <w:lastRenderedPageBreak/>
        <w:t>implementation timeline, quality measures, and monitoring and evaluation processes.</w:t>
      </w:r>
      <w:r w:rsidR="0000626A" w:rsidRPr="000544D8">
        <w:rPr>
          <w:rFonts w:asciiTheme="minorHAnsi" w:hAnsiTheme="minorHAnsi" w:cstheme="minorHAnsi"/>
          <w:sz w:val="22"/>
        </w:rPr>
        <w:t xml:space="preserve"> For</w:t>
      </w:r>
      <w:r w:rsidR="00051926" w:rsidRPr="000544D8">
        <w:rPr>
          <w:rFonts w:asciiTheme="minorHAnsi" w:hAnsiTheme="minorHAnsi" w:cstheme="minorHAnsi"/>
          <w:sz w:val="22"/>
        </w:rPr>
        <w:t xml:space="preserve"> example,</w:t>
      </w:r>
      <w:r w:rsidR="001545BC" w:rsidRPr="000544D8">
        <w:rPr>
          <w:rFonts w:asciiTheme="minorHAnsi" w:hAnsiTheme="minorHAnsi" w:cstheme="minorHAnsi"/>
          <w:sz w:val="22"/>
        </w:rPr>
        <w:t xml:space="preserve"> </w:t>
      </w:r>
      <w:r w:rsidR="00E17042" w:rsidRPr="000544D8">
        <w:rPr>
          <w:rFonts w:asciiTheme="minorHAnsi" w:hAnsiTheme="minorHAnsi" w:cstheme="minorHAnsi"/>
          <w:sz w:val="22"/>
        </w:rPr>
        <w:t>New Mexico adopted this approach as part o</w:t>
      </w:r>
      <w:r w:rsidR="00BD1B22" w:rsidRPr="000544D8">
        <w:rPr>
          <w:rFonts w:asciiTheme="minorHAnsi" w:hAnsiTheme="minorHAnsi" w:cstheme="minorHAnsi"/>
          <w:sz w:val="22"/>
        </w:rPr>
        <w:t xml:space="preserve">f its Centennial Care </w:t>
      </w:r>
      <w:r w:rsidR="00FB2E84" w:rsidRPr="000544D8">
        <w:rPr>
          <w:rFonts w:asciiTheme="minorHAnsi" w:hAnsiTheme="minorHAnsi" w:cstheme="minorHAnsi"/>
          <w:sz w:val="22"/>
        </w:rPr>
        <w:t>MCE</w:t>
      </w:r>
      <w:r w:rsidR="00BD1B22" w:rsidRPr="000544D8">
        <w:rPr>
          <w:rFonts w:asciiTheme="minorHAnsi" w:hAnsiTheme="minorHAnsi" w:cstheme="minorHAnsi"/>
          <w:sz w:val="22"/>
        </w:rPr>
        <w:t xml:space="preserve"> program</w:t>
      </w:r>
      <w:r w:rsidR="00E17042" w:rsidRPr="000544D8">
        <w:rPr>
          <w:rFonts w:asciiTheme="minorHAnsi" w:hAnsiTheme="minorHAnsi" w:cstheme="minorHAnsi"/>
          <w:sz w:val="22"/>
        </w:rPr>
        <w:t xml:space="preserve">. Each of the state’s </w:t>
      </w:r>
      <w:r w:rsidR="00FB2E84" w:rsidRPr="000544D8">
        <w:rPr>
          <w:rFonts w:asciiTheme="minorHAnsi" w:hAnsiTheme="minorHAnsi" w:cstheme="minorHAnsi"/>
          <w:sz w:val="22"/>
        </w:rPr>
        <w:t>MCE</w:t>
      </w:r>
      <w:r w:rsidR="00E17042" w:rsidRPr="000544D8">
        <w:rPr>
          <w:rFonts w:asciiTheme="minorHAnsi" w:hAnsiTheme="minorHAnsi" w:cstheme="minorHAnsi"/>
          <w:sz w:val="22"/>
        </w:rPr>
        <w:t xml:space="preserve">s submitted </w:t>
      </w:r>
      <w:r w:rsidR="00BD1B22" w:rsidRPr="000544D8">
        <w:rPr>
          <w:rFonts w:asciiTheme="minorHAnsi" w:hAnsiTheme="minorHAnsi" w:cstheme="minorHAnsi"/>
          <w:sz w:val="22"/>
        </w:rPr>
        <w:t>proposals based on state defined performance targets</w:t>
      </w:r>
      <w:r w:rsidR="00E17042" w:rsidRPr="000544D8">
        <w:rPr>
          <w:rFonts w:asciiTheme="minorHAnsi" w:hAnsiTheme="minorHAnsi" w:cstheme="minorHAnsi"/>
          <w:sz w:val="22"/>
        </w:rPr>
        <w:t>.  The state the</w:t>
      </w:r>
      <w:r w:rsidR="00BD1B22" w:rsidRPr="000544D8">
        <w:rPr>
          <w:rFonts w:asciiTheme="minorHAnsi" w:hAnsiTheme="minorHAnsi" w:cstheme="minorHAnsi"/>
          <w:sz w:val="22"/>
        </w:rPr>
        <w:t xml:space="preserve">n reviewed and approved proposals. </w:t>
      </w:r>
      <w:r w:rsidR="00E17042" w:rsidRPr="000544D8">
        <w:rPr>
          <w:rFonts w:asciiTheme="minorHAnsi" w:hAnsiTheme="minorHAnsi" w:cstheme="minorHAnsi"/>
          <w:sz w:val="22"/>
        </w:rPr>
        <w:t xml:space="preserve"> The state </w:t>
      </w:r>
      <w:r w:rsidR="00BD1B22" w:rsidRPr="000544D8">
        <w:rPr>
          <w:rFonts w:asciiTheme="minorHAnsi" w:hAnsiTheme="minorHAnsi" w:cstheme="minorHAnsi"/>
          <w:sz w:val="22"/>
        </w:rPr>
        <w:t xml:space="preserve">is monitoring and evaluating </w:t>
      </w:r>
      <w:r w:rsidR="00E17042" w:rsidRPr="000544D8">
        <w:rPr>
          <w:rFonts w:asciiTheme="minorHAnsi" w:hAnsiTheme="minorHAnsi" w:cstheme="minorHAnsi"/>
          <w:sz w:val="22"/>
        </w:rPr>
        <w:t xml:space="preserve">the projects to determine effectiveness and scalability.  Details are available </w:t>
      </w:r>
      <w:r w:rsidR="00542DA4" w:rsidRPr="000544D8">
        <w:rPr>
          <w:rFonts w:asciiTheme="minorHAnsi" w:hAnsiTheme="minorHAnsi" w:cstheme="minorHAnsi"/>
          <w:sz w:val="22"/>
        </w:rPr>
        <w:t xml:space="preserve">at </w:t>
      </w:r>
      <w:hyperlink r:id="rId12" w:history="1">
        <w:r w:rsidR="00E17042" w:rsidRPr="000544D8">
          <w:rPr>
            <w:rStyle w:val="Hyperlink"/>
            <w:rFonts w:asciiTheme="minorHAnsi" w:hAnsiTheme="minorHAnsi" w:cstheme="minorHAnsi"/>
            <w:sz w:val="22"/>
          </w:rPr>
          <w:t>http://www.hsd.state.nm.us/uploads/files/Value-Based%20Purchasing%20Issue%20Brief%20-%20Jan%2013%202017.pdf</w:t>
        </w:r>
      </w:hyperlink>
      <w:r w:rsidR="00E17042" w:rsidRPr="000544D8">
        <w:rPr>
          <w:rFonts w:asciiTheme="minorHAnsi" w:hAnsiTheme="minorHAnsi" w:cstheme="minorHAnsi"/>
          <w:sz w:val="22"/>
        </w:rPr>
        <w:t xml:space="preserve"> </w:t>
      </w:r>
      <w:r w:rsidR="00BD1B22" w:rsidRPr="000544D8">
        <w:rPr>
          <w:rFonts w:asciiTheme="minorHAnsi" w:hAnsiTheme="minorHAnsi" w:cstheme="minorHAnsi"/>
          <w:sz w:val="22"/>
        </w:rPr>
        <w:t xml:space="preserve"> </w:t>
      </w:r>
    </w:p>
    <w:p w14:paraId="2C8FFF9A" w14:textId="20820EAD" w:rsidR="00FC0B0D" w:rsidRPr="000544D8" w:rsidRDefault="00FC0B0D" w:rsidP="007768AB">
      <w:pPr>
        <w:pStyle w:val="BodyCambria10Black"/>
        <w:numPr>
          <w:ilvl w:val="0"/>
          <w:numId w:val="17"/>
        </w:numPr>
        <w:spacing w:after="120" w:line="240" w:lineRule="auto"/>
        <w:rPr>
          <w:rFonts w:asciiTheme="minorHAnsi" w:hAnsiTheme="minorHAnsi" w:cstheme="minorHAnsi"/>
          <w:i/>
          <w:sz w:val="22"/>
        </w:rPr>
      </w:pPr>
      <w:r w:rsidRPr="000544D8">
        <w:rPr>
          <w:rFonts w:asciiTheme="minorHAnsi" w:hAnsiTheme="minorHAnsi" w:cstheme="minorHAnsi"/>
          <w:i/>
          <w:sz w:val="22"/>
        </w:rPr>
        <w:t xml:space="preserve">Require </w:t>
      </w:r>
      <w:r w:rsidR="00FB2E84" w:rsidRPr="000544D8">
        <w:rPr>
          <w:rFonts w:asciiTheme="minorHAnsi" w:hAnsiTheme="minorHAnsi" w:cstheme="minorHAnsi"/>
          <w:i/>
          <w:sz w:val="22"/>
        </w:rPr>
        <w:t>MCE</w:t>
      </w:r>
      <w:r w:rsidRPr="000544D8">
        <w:rPr>
          <w:rFonts w:asciiTheme="minorHAnsi" w:hAnsiTheme="minorHAnsi" w:cstheme="minorHAnsi"/>
          <w:i/>
          <w:sz w:val="22"/>
        </w:rPr>
        <w:t>s to adopt a contractually specified VBP model</w:t>
      </w:r>
      <w:r w:rsidR="00311289">
        <w:rPr>
          <w:rFonts w:asciiTheme="minorHAnsi" w:hAnsiTheme="minorHAnsi" w:cstheme="minorHAnsi"/>
          <w:i/>
          <w:sz w:val="22"/>
        </w:rPr>
        <w:t>.</w:t>
      </w:r>
    </w:p>
    <w:p w14:paraId="2B4D7058" w14:textId="27A6CF3F" w:rsidR="00FC0B0D" w:rsidRPr="000544D8" w:rsidRDefault="00FB2E84" w:rsidP="00C97A5F">
      <w:pPr>
        <w:pStyle w:val="BodyCambria10Black"/>
        <w:ind w:left="720"/>
        <w:rPr>
          <w:rFonts w:asciiTheme="minorHAnsi" w:hAnsiTheme="minorHAnsi" w:cstheme="minorHAnsi"/>
          <w:sz w:val="22"/>
        </w:rPr>
      </w:pPr>
      <w:r w:rsidRPr="000544D8">
        <w:rPr>
          <w:rFonts w:asciiTheme="minorHAnsi" w:hAnsiTheme="minorHAnsi" w:cstheme="minorHAnsi"/>
          <w:sz w:val="22"/>
        </w:rPr>
        <w:t>MCE</w:t>
      </w:r>
      <w:r w:rsidR="00FC0B0D" w:rsidRPr="000544D8">
        <w:rPr>
          <w:rFonts w:asciiTheme="minorHAnsi" w:hAnsiTheme="minorHAnsi" w:cstheme="minorHAnsi"/>
          <w:sz w:val="22"/>
        </w:rPr>
        <w:t xml:space="preserve">s </w:t>
      </w:r>
      <w:r w:rsidR="002D05B9" w:rsidRPr="000544D8">
        <w:rPr>
          <w:rFonts w:asciiTheme="minorHAnsi" w:hAnsiTheme="minorHAnsi" w:cstheme="minorHAnsi"/>
          <w:sz w:val="22"/>
        </w:rPr>
        <w:t xml:space="preserve">must </w:t>
      </w:r>
      <w:r w:rsidR="00FC0B0D" w:rsidRPr="000544D8">
        <w:rPr>
          <w:rFonts w:asciiTheme="minorHAnsi" w:hAnsiTheme="minorHAnsi" w:cstheme="minorHAnsi"/>
          <w:sz w:val="22"/>
        </w:rPr>
        <w:t xml:space="preserve">implement a </w:t>
      </w:r>
      <w:r w:rsidR="00BA001F" w:rsidRPr="000544D8">
        <w:rPr>
          <w:rFonts w:asciiTheme="minorHAnsi" w:hAnsiTheme="minorHAnsi" w:cstheme="minorHAnsi"/>
          <w:sz w:val="22"/>
        </w:rPr>
        <w:t>VBP model</w:t>
      </w:r>
      <w:r w:rsidR="002D05B9" w:rsidRPr="000544D8">
        <w:rPr>
          <w:rFonts w:asciiTheme="minorHAnsi" w:hAnsiTheme="minorHAnsi" w:cstheme="minorHAnsi"/>
          <w:sz w:val="22"/>
        </w:rPr>
        <w:t xml:space="preserve"> that includes state required </w:t>
      </w:r>
      <w:r w:rsidR="00C44617" w:rsidRPr="000544D8">
        <w:rPr>
          <w:rFonts w:asciiTheme="minorHAnsi" w:hAnsiTheme="minorHAnsi" w:cstheme="minorHAnsi"/>
          <w:sz w:val="22"/>
        </w:rPr>
        <w:t>approache</w:t>
      </w:r>
      <w:r w:rsidR="002D05B9" w:rsidRPr="000544D8">
        <w:rPr>
          <w:rFonts w:asciiTheme="minorHAnsi" w:hAnsiTheme="minorHAnsi" w:cstheme="minorHAnsi"/>
          <w:sz w:val="22"/>
        </w:rPr>
        <w:t>s</w:t>
      </w:r>
      <w:r w:rsidR="00C44617" w:rsidRPr="000544D8">
        <w:rPr>
          <w:rFonts w:asciiTheme="minorHAnsi" w:hAnsiTheme="minorHAnsi" w:cstheme="minorHAnsi"/>
          <w:sz w:val="22"/>
        </w:rPr>
        <w:t>. This model</w:t>
      </w:r>
      <w:r w:rsidR="00FC0B0D" w:rsidRPr="000544D8">
        <w:rPr>
          <w:rFonts w:asciiTheme="minorHAnsi" w:hAnsiTheme="minorHAnsi" w:cstheme="minorHAnsi"/>
          <w:sz w:val="22"/>
        </w:rPr>
        <w:t xml:space="preserve"> offers a high level of standardization</w:t>
      </w:r>
      <w:r w:rsidR="00FF6668" w:rsidRPr="000544D8">
        <w:rPr>
          <w:rFonts w:asciiTheme="minorHAnsi" w:hAnsiTheme="minorHAnsi" w:cstheme="minorHAnsi"/>
          <w:sz w:val="22"/>
        </w:rPr>
        <w:t xml:space="preserve"> in terms of provider payment</w:t>
      </w:r>
      <w:r w:rsidR="00FC0B0D" w:rsidRPr="000544D8">
        <w:rPr>
          <w:rFonts w:asciiTheme="minorHAnsi" w:hAnsiTheme="minorHAnsi" w:cstheme="minorHAnsi"/>
          <w:sz w:val="22"/>
        </w:rPr>
        <w:t>, administrative requirements</w:t>
      </w:r>
      <w:r w:rsidR="0000626A" w:rsidRPr="000544D8">
        <w:rPr>
          <w:rFonts w:asciiTheme="minorHAnsi" w:hAnsiTheme="minorHAnsi" w:cstheme="minorHAnsi"/>
          <w:sz w:val="22"/>
        </w:rPr>
        <w:t>,</w:t>
      </w:r>
      <w:r w:rsidR="00FC0B0D" w:rsidRPr="000544D8">
        <w:rPr>
          <w:rFonts w:asciiTheme="minorHAnsi" w:hAnsiTheme="minorHAnsi" w:cstheme="minorHAnsi"/>
          <w:sz w:val="22"/>
        </w:rPr>
        <w:t xml:space="preserve"> and quality measures.  In addition, standardization across </w:t>
      </w:r>
      <w:r w:rsidRPr="000544D8">
        <w:rPr>
          <w:rFonts w:asciiTheme="minorHAnsi" w:hAnsiTheme="minorHAnsi" w:cstheme="minorHAnsi"/>
          <w:sz w:val="22"/>
        </w:rPr>
        <w:t>MCE</w:t>
      </w:r>
      <w:r w:rsidR="00FC0B0D" w:rsidRPr="000544D8">
        <w:rPr>
          <w:rFonts w:asciiTheme="minorHAnsi" w:hAnsiTheme="minorHAnsi" w:cstheme="minorHAnsi"/>
          <w:sz w:val="22"/>
        </w:rPr>
        <w:t xml:space="preserve">s decreases the provider burden to participate since it promotes </w:t>
      </w:r>
      <w:r w:rsidR="00FC626C" w:rsidRPr="000544D8">
        <w:rPr>
          <w:rFonts w:asciiTheme="minorHAnsi" w:hAnsiTheme="minorHAnsi" w:cstheme="minorHAnsi"/>
          <w:sz w:val="22"/>
        </w:rPr>
        <w:t>consistency</w:t>
      </w:r>
      <w:r w:rsidR="00FC0B0D" w:rsidRPr="000544D8">
        <w:rPr>
          <w:rFonts w:asciiTheme="minorHAnsi" w:hAnsiTheme="minorHAnsi" w:cstheme="minorHAnsi"/>
          <w:sz w:val="22"/>
        </w:rPr>
        <w:t xml:space="preserve"> across the </w:t>
      </w:r>
      <w:r w:rsidR="00FF6668" w:rsidRPr="000544D8">
        <w:rPr>
          <w:rFonts w:asciiTheme="minorHAnsi" w:hAnsiTheme="minorHAnsi" w:cstheme="minorHAnsi"/>
          <w:sz w:val="22"/>
        </w:rPr>
        <w:t xml:space="preserve">different </w:t>
      </w:r>
      <w:r w:rsidRPr="000544D8">
        <w:rPr>
          <w:rFonts w:asciiTheme="minorHAnsi" w:hAnsiTheme="minorHAnsi" w:cstheme="minorHAnsi"/>
          <w:sz w:val="22"/>
        </w:rPr>
        <w:t>MCE</w:t>
      </w:r>
      <w:r w:rsidR="00FF6668" w:rsidRPr="000544D8">
        <w:rPr>
          <w:rFonts w:asciiTheme="minorHAnsi" w:hAnsiTheme="minorHAnsi" w:cstheme="minorHAnsi"/>
          <w:sz w:val="22"/>
        </w:rPr>
        <w:t xml:space="preserve"> </w:t>
      </w:r>
      <w:r w:rsidR="00FC626C" w:rsidRPr="000544D8">
        <w:rPr>
          <w:rFonts w:asciiTheme="minorHAnsi" w:hAnsiTheme="minorHAnsi" w:cstheme="minorHAnsi"/>
          <w:sz w:val="22"/>
        </w:rPr>
        <w:t>payer</w:t>
      </w:r>
      <w:r w:rsidR="00FF6668" w:rsidRPr="000544D8">
        <w:rPr>
          <w:rFonts w:asciiTheme="minorHAnsi" w:hAnsiTheme="minorHAnsi" w:cstheme="minorHAnsi"/>
          <w:sz w:val="22"/>
        </w:rPr>
        <w:t>s</w:t>
      </w:r>
      <w:r w:rsidR="00FC0B0D" w:rsidRPr="000544D8">
        <w:rPr>
          <w:rFonts w:asciiTheme="minorHAnsi" w:hAnsiTheme="minorHAnsi" w:cstheme="minorHAnsi"/>
          <w:sz w:val="22"/>
        </w:rPr>
        <w:t>. Another benefit is that it assists the state to develop a model that can align with Medic</w:t>
      </w:r>
      <w:r w:rsidR="00FF6668" w:rsidRPr="000544D8">
        <w:rPr>
          <w:rFonts w:asciiTheme="minorHAnsi" w:hAnsiTheme="minorHAnsi" w:cstheme="minorHAnsi"/>
          <w:sz w:val="22"/>
        </w:rPr>
        <w:t xml:space="preserve">are and other commercial payers, further reducing provider burden. For example, </w:t>
      </w:r>
      <w:r w:rsidR="00392B6B" w:rsidRPr="000544D8">
        <w:rPr>
          <w:rFonts w:asciiTheme="minorHAnsi" w:hAnsiTheme="minorHAnsi" w:cstheme="minorHAnsi"/>
          <w:sz w:val="22"/>
        </w:rPr>
        <w:t xml:space="preserve">Tennessee’s </w:t>
      </w:r>
      <w:r w:rsidRPr="000544D8">
        <w:rPr>
          <w:rFonts w:asciiTheme="minorHAnsi" w:hAnsiTheme="minorHAnsi" w:cstheme="minorHAnsi"/>
          <w:sz w:val="22"/>
        </w:rPr>
        <w:t>MCE</w:t>
      </w:r>
      <w:r w:rsidR="00392B6B" w:rsidRPr="000544D8">
        <w:rPr>
          <w:rFonts w:asciiTheme="minorHAnsi" w:hAnsiTheme="minorHAnsi" w:cstheme="minorHAnsi"/>
          <w:sz w:val="22"/>
        </w:rPr>
        <w:t xml:space="preserve">s are required to implement </w:t>
      </w:r>
      <w:r w:rsidR="00A70C44">
        <w:rPr>
          <w:rFonts w:asciiTheme="minorHAnsi" w:hAnsiTheme="minorHAnsi" w:cstheme="minorHAnsi"/>
          <w:sz w:val="22"/>
        </w:rPr>
        <w:t>Patient Centered Medical Homes (</w:t>
      </w:r>
      <w:r w:rsidR="007B428C" w:rsidRPr="000544D8">
        <w:rPr>
          <w:rFonts w:asciiTheme="minorHAnsi" w:hAnsiTheme="minorHAnsi" w:cstheme="minorHAnsi"/>
          <w:sz w:val="22"/>
        </w:rPr>
        <w:t>PCMHs</w:t>
      </w:r>
      <w:r w:rsidR="00A70C44">
        <w:rPr>
          <w:rFonts w:asciiTheme="minorHAnsi" w:hAnsiTheme="minorHAnsi" w:cstheme="minorHAnsi"/>
          <w:sz w:val="22"/>
        </w:rPr>
        <w:t>)</w:t>
      </w:r>
      <w:r w:rsidR="00392B6B" w:rsidRPr="000544D8">
        <w:rPr>
          <w:rFonts w:asciiTheme="minorHAnsi" w:hAnsiTheme="minorHAnsi" w:cstheme="minorHAnsi"/>
          <w:sz w:val="22"/>
        </w:rPr>
        <w:t xml:space="preserve"> and episode </w:t>
      </w:r>
      <w:r w:rsidR="00BA001F" w:rsidRPr="000544D8">
        <w:rPr>
          <w:rFonts w:asciiTheme="minorHAnsi" w:hAnsiTheme="minorHAnsi" w:cstheme="minorHAnsi"/>
          <w:sz w:val="22"/>
        </w:rPr>
        <w:t>based payment</w:t>
      </w:r>
      <w:r w:rsidR="00392B6B" w:rsidRPr="000544D8">
        <w:rPr>
          <w:rFonts w:asciiTheme="minorHAnsi" w:hAnsiTheme="minorHAnsi" w:cstheme="minorHAnsi"/>
          <w:sz w:val="22"/>
        </w:rPr>
        <w:t xml:space="preserve">s.  Detail is available at </w:t>
      </w:r>
      <w:hyperlink r:id="rId13" w:history="1">
        <w:r w:rsidR="00392B6B" w:rsidRPr="000544D8">
          <w:rPr>
            <w:rStyle w:val="Hyperlink"/>
            <w:rFonts w:asciiTheme="minorHAnsi" w:hAnsiTheme="minorHAnsi" w:cstheme="minorHAnsi"/>
            <w:sz w:val="22"/>
          </w:rPr>
          <w:t>http://www.qsource.org/wp-content/uploads/2017/06/2017_TennCare_June_Presentation_Population_Health_Medicaid_Value-Based_Care.pdf</w:t>
        </w:r>
      </w:hyperlink>
      <w:r w:rsidR="00392B6B" w:rsidRPr="000544D8">
        <w:rPr>
          <w:rFonts w:asciiTheme="minorHAnsi" w:hAnsiTheme="minorHAnsi" w:cstheme="minorHAnsi"/>
          <w:sz w:val="22"/>
        </w:rPr>
        <w:t xml:space="preserve">. </w:t>
      </w:r>
      <w:r w:rsidR="004266FA" w:rsidRPr="000544D8">
        <w:rPr>
          <w:rFonts w:asciiTheme="minorHAnsi" w:hAnsiTheme="minorHAnsi" w:cstheme="minorHAnsi"/>
          <w:sz w:val="22"/>
        </w:rPr>
        <w:t xml:space="preserve"> </w:t>
      </w:r>
    </w:p>
    <w:p w14:paraId="54DB98B0" w14:textId="6467DF37" w:rsidR="0098714B" w:rsidRPr="000544D8" w:rsidRDefault="0098714B" w:rsidP="007768AB">
      <w:pPr>
        <w:pStyle w:val="BodyCambria10Black"/>
        <w:numPr>
          <w:ilvl w:val="0"/>
          <w:numId w:val="18"/>
        </w:numPr>
        <w:rPr>
          <w:rFonts w:asciiTheme="minorHAnsi" w:hAnsiTheme="minorHAnsi" w:cstheme="minorHAnsi"/>
          <w:i/>
          <w:sz w:val="22"/>
        </w:rPr>
      </w:pPr>
      <w:r w:rsidRPr="000544D8">
        <w:rPr>
          <w:rFonts w:asciiTheme="minorHAnsi" w:hAnsiTheme="minorHAnsi" w:cstheme="minorHAnsi"/>
          <w:i/>
          <w:sz w:val="22"/>
        </w:rPr>
        <w:t xml:space="preserve">Require </w:t>
      </w:r>
      <w:r w:rsidR="00FB2E84" w:rsidRPr="000544D8">
        <w:rPr>
          <w:rFonts w:asciiTheme="minorHAnsi" w:hAnsiTheme="minorHAnsi" w:cstheme="minorHAnsi"/>
          <w:i/>
          <w:sz w:val="22"/>
        </w:rPr>
        <w:t>MCE</w:t>
      </w:r>
      <w:r w:rsidRPr="000544D8">
        <w:rPr>
          <w:rFonts w:asciiTheme="minorHAnsi" w:hAnsiTheme="minorHAnsi" w:cstheme="minorHAnsi"/>
          <w:i/>
          <w:sz w:val="22"/>
        </w:rPr>
        <w:t>s to participate in a multi-payer VBP alignment initiative.</w:t>
      </w:r>
    </w:p>
    <w:p w14:paraId="077D8509" w14:textId="390BF583" w:rsidR="00833802" w:rsidRPr="000544D8" w:rsidRDefault="003042AF" w:rsidP="00833802">
      <w:pPr>
        <w:pStyle w:val="BodyCambria10Black"/>
        <w:ind w:left="720"/>
        <w:rPr>
          <w:rFonts w:asciiTheme="minorHAnsi" w:hAnsiTheme="minorHAnsi" w:cstheme="minorHAnsi"/>
          <w:sz w:val="22"/>
        </w:rPr>
      </w:pPr>
      <w:r w:rsidRPr="000544D8">
        <w:rPr>
          <w:rFonts w:asciiTheme="minorHAnsi" w:hAnsiTheme="minorHAnsi" w:cstheme="minorHAnsi"/>
          <w:sz w:val="22"/>
        </w:rPr>
        <w:t>In this advanced model, t</w:t>
      </w:r>
      <w:r w:rsidR="00D83635" w:rsidRPr="000544D8">
        <w:rPr>
          <w:rFonts w:asciiTheme="minorHAnsi" w:hAnsiTheme="minorHAnsi" w:cstheme="minorHAnsi"/>
          <w:sz w:val="22"/>
        </w:rPr>
        <w:t xml:space="preserve">he state </w:t>
      </w:r>
      <w:r w:rsidR="00A97F83" w:rsidRPr="000544D8">
        <w:rPr>
          <w:rFonts w:asciiTheme="minorHAnsi" w:hAnsiTheme="minorHAnsi" w:cstheme="minorHAnsi"/>
          <w:sz w:val="22"/>
        </w:rPr>
        <w:t>c</w:t>
      </w:r>
      <w:r w:rsidR="00D83635" w:rsidRPr="000544D8">
        <w:rPr>
          <w:rFonts w:asciiTheme="minorHAnsi" w:hAnsiTheme="minorHAnsi" w:cstheme="minorHAnsi"/>
          <w:sz w:val="22"/>
        </w:rPr>
        <w:t>ould facilitate a multi-payer initiative</w:t>
      </w:r>
      <w:r w:rsidR="00FF6668" w:rsidRPr="000544D8">
        <w:rPr>
          <w:rFonts w:asciiTheme="minorHAnsi" w:hAnsiTheme="minorHAnsi" w:cstheme="minorHAnsi"/>
          <w:sz w:val="22"/>
        </w:rPr>
        <w:t>, including Medicaid, Medicare and commercial payers,</w:t>
      </w:r>
      <w:r w:rsidR="00D83635" w:rsidRPr="000544D8">
        <w:rPr>
          <w:rFonts w:asciiTheme="minorHAnsi" w:hAnsiTheme="minorHAnsi" w:cstheme="minorHAnsi"/>
          <w:sz w:val="22"/>
        </w:rPr>
        <w:t xml:space="preserve"> for the purpose of ensuring consistency, reducing administrative burden, and aligning incentives across the </w:t>
      </w:r>
      <w:r w:rsidR="00FF6668" w:rsidRPr="000544D8">
        <w:rPr>
          <w:rFonts w:asciiTheme="minorHAnsi" w:hAnsiTheme="minorHAnsi" w:cstheme="minorHAnsi"/>
          <w:sz w:val="22"/>
        </w:rPr>
        <w:t>health plan VBP efforts in</w:t>
      </w:r>
      <w:r w:rsidR="00D83635" w:rsidRPr="000544D8">
        <w:rPr>
          <w:rFonts w:asciiTheme="minorHAnsi" w:hAnsiTheme="minorHAnsi" w:cstheme="minorHAnsi"/>
          <w:sz w:val="22"/>
        </w:rPr>
        <w:t xml:space="preserve"> the </w:t>
      </w:r>
      <w:r w:rsidR="000F2995" w:rsidRPr="000544D8">
        <w:rPr>
          <w:rFonts w:asciiTheme="minorHAnsi" w:hAnsiTheme="minorHAnsi" w:cstheme="minorHAnsi"/>
          <w:sz w:val="22"/>
        </w:rPr>
        <w:t>provider community.  The state w</w:t>
      </w:r>
      <w:r w:rsidR="00D83635" w:rsidRPr="000544D8">
        <w:rPr>
          <w:rFonts w:asciiTheme="minorHAnsi" w:hAnsiTheme="minorHAnsi" w:cstheme="minorHAnsi"/>
          <w:sz w:val="22"/>
        </w:rPr>
        <w:t xml:space="preserve">ould require alignment with multi-payer models for areas such as performance metrics, provider eligibility criteria, consistent timing and phasing of </w:t>
      </w:r>
      <w:r w:rsidR="00C44617" w:rsidRPr="000544D8">
        <w:rPr>
          <w:rFonts w:asciiTheme="minorHAnsi" w:hAnsiTheme="minorHAnsi" w:cstheme="minorHAnsi"/>
          <w:sz w:val="22"/>
        </w:rPr>
        <w:t>model approaches</w:t>
      </w:r>
      <w:r w:rsidR="00D83635" w:rsidRPr="000544D8">
        <w:rPr>
          <w:rFonts w:asciiTheme="minorHAnsi" w:hAnsiTheme="minorHAnsi" w:cstheme="minorHAnsi"/>
          <w:sz w:val="22"/>
        </w:rPr>
        <w:t>, training</w:t>
      </w:r>
      <w:r w:rsidR="00E04EA7" w:rsidRPr="000544D8">
        <w:rPr>
          <w:rFonts w:asciiTheme="minorHAnsi" w:hAnsiTheme="minorHAnsi" w:cstheme="minorHAnsi"/>
          <w:sz w:val="22"/>
        </w:rPr>
        <w:t>,</w:t>
      </w:r>
      <w:r w:rsidR="00D83635" w:rsidRPr="000544D8">
        <w:rPr>
          <w:rFonts w:asciiTheme="minorHAnsi" w:hAnsiTheme="minorHAnsi" w:cstheme="minorHAnsi"/>
          <w:sz w:val="22"/>
        </w:rPr>
        <w:t xml:space="preserve"> and resources to support providers.  </w:t>
      </w:r>
      <w:r w:rsidR="00083D28" w:rsidRPr="000544D8">
        <w:rPr>
          <w:rFonts w:asciiTheme="minorHAnsi" w:hAnsiTheme="minorHAnsi" w:cstheme="minorHAnsi"/>
          <w:sz w:val="22"/>
        </w:rPr>
        <w:t xml:space="preserve">For example, </w:t>
      </w:r>
      <w:r w:rsidR="000C00B3" w:rsidRPr="000544D8">
        <w:rPr>
          <w:rFonts w:asciiTheme="minorHAnsi" w:hAnsiTheme="minorHAnsi" w:cstheme="minorHAnsi"/>
          <w:sz w:val="22"/>
        </w:rPr>
        <w:t>CMS has implemented Comprehensive Primary Care Plus (CPC+) which is a “national advanced primary care medical home model designed</w:t>
      </w:r>
      <w:r w:rsidR="00E04EA7" w:rsidRPr="000544D8">
        <w:rPr>
          <w:rFonts w:asciiTheme="minorHAnsi" w:hAnsiTheme="minorHAnsi" w:cstheme="minorHAnsi"/>
          <w:sz w:val="22"/>
        </w:rPr>
        <w:t xml:space="preserve"> to</w:t>
      </w:r>
      <w:r w:rsidR="000C00B3" w:rsidRPr="000544D8">
        <w:rPr>
          <w:rFonts w:asciiTheme="minorHAnsi" w:hAnsiTheme="minorHAnsi" w:cstheme="minorHAnsi"/>
          <w:sz w:val="22"/>
        </w:rPr>
        <w:t xml:space="preserve"> strengthen primary care through regionally-based multi-payer payment reform and care delivery transformation.”</w:t>
      </w:r>
      <w:r w:rsidR="00C97A5F" w:rsidRPr="000544D8">
        <w:rPr>
          <w:rStyle w:val="EndnoteReference"/>
          <w:rFonts w:asciiTheme="minorHAnsi" w:hAnsiTheme="minorHAnsi" w:cstheme="minorHAnsi"/>
          <w:sz w:val="22"/>
        </w:rPr>
        <w:endnoteReference w:id="6"/>
      </w:r>
      <w:r w:rsidR="000C00B3" w:rsidRPr="000544D8">
        <w:rPr>
          <w:rFonts w:asciiTheme="minorHAnsi" w:hAnsiTheme="minorHAnsi" w:cstheme="minorHAnsi"/>
          <w:sz w:val="22"/>
        </w:rPr>
        <w:t xml:space="preserve"> CPC+ uses health care delivery requirements and associated payment options to improve the access to and quality of primary care services.</w:t>
      </w:r>
      <w:r w:rsidR="00083D28" w:rsidRPr="000544D8">
        <w:rPr>
          <w:rFonts w:asciiTheme="minorHAnsi" w:hAnsiTheme="minorHAnsi" w:cstheme="minorHAnsi"/>
          <w:sz w:val="22"/>
        </w:rPr>
        <w:t xml:space="preserve">  </w:t>
      </w:r>
      <w:r w:rsidR="002E13B3" w:rsidRPr="000544D8">
        <w:rPr>
          <w:rFonts w:asciiTheme="minorHAnsi" w:hAnsiTheme="minorHAnsi" w:cstheme="minorHAnsi"/>
          <w:sz w:val="22"/>
        </w:rPr>
        <w:t>This model is a</w:t>
      </w:r>
      <w:r w:rsidR="00925791" w:rsidRPr="000544D8">
        <w:rPr>
          <w:rFonts w:asciiTheme="minorHAnsi" w:hAnsiTheme="minorHAnsi" w:cstheme="minorHAnsi"/>
          <w:sz w:val="22"/>
        </w:rPr>
        <w:t xml:space="preserve"> long range goal for states and is attained over time.  </w:t>
      </w:r>
      <w:r w:rsidR="00083D28" w:rsidRPr="000544D8">
        <w:rPr>
          <w:rFonts w:asciiTheme="minorHAnsi" w:hAnsiTheme="minorHAnsi" w:cstheme="minorHAnsi"/>
          <w:sz w:val="22"/>
        </w:rPr>
        <w:t>Detail is available at</w:t>
      </w:r>
      <w:r w:rsidR="000316FF" w:rsidRPr="000544D8">
        <w:rPr>
          <w:rFonts w:asciiTheme="minorHAnsi" w:hAnsiTheme="minorHAnsi" w:cstheme="minorHAnsi"/>
          <w:sz w:val="22"/>
        </w:rPr>
        <w:t xml:space="preserve"> </w:t>
      </w:r>
      <w:hyperlink r:id="rId14" w:history="1">
        <w:r w:rsidR="000316FF" w:rsidRPr="000544D8">
          <w:rPr>
            <w:rStyle w:val="Hyperlink"/>
            <w:rFonts w:asciiTheme="minorHAnsi" w:hAnsiTheme="minorHAnsi" w:cstheme="minorHAnsi"/>
            <w:sz w:val="22"/>
          </w:rPr>
          <w:t>https://innovation.cms.gov/initiatives/Comprehensive-Primary-Care-Plus</w:t>
        </w:r>
      </w:hyperlink>
      <w:r w:rsidR="000316FF" w:rsidRPr="000544D8">
        <w:rPr>
          <w:rFonts w:asciiTheme="minorHAnsi" w:hAnsiTheme="minorHAnsi" w:cstheme="minorHAnsi"/>
          <w:sz w:val="22"/>
        </w:rPr>
        <w:t xml:space="preserve">. </w:t>
      </w:r>
    </w:p>
    <w:p w14:paraId="75656FBA" w14:textId="77777777" w:rsidR="00FC0B0D" w:rsidRPr="000544D8" w:rsidRDefault="000828B4" w:rsidP="00A97F83">
      <w:pPr>
        <w:pStyle w:val="BodyCambria10Black"/>
        <w:rPr>
          <w:rFonts w:asciiTheme="minorHAnsi" w:hAnsiTheme="minorHAnsi" w:cstheme="minorHAnsi"/>
          <w:sz w:val="22"/>
        </w:rPr>
      </w:pPr>
      <w:r w:rsidRPr="000544D8">
        <w:rPr>
          <w:rFonts w:asciiTheme="minorHAnsi" w:hAnsiTheme="minorHAnsi" w:cstheme="minorHAnsi"/>
          <w:sz w:val="22"/>
        </w:rPr>
        <w:t>In support of the development of VBP models, technical assistance is available at:</w:t>
      </w:r>
    </w:p>
    <w:p w14:paraId="4F7C1B05" w14:textId="77777777" w:rsidR="000828B4" w:rsidRPr="000544D8" w:rsidRDefault="000828B4" w:rsidP="007768AB">
      <w:pPr>
        <w:pStyle w:val="BodyCambria10Black"/>
        <w:numPr>
          <w:ilvl w:val="0"/>
          <w:numId w:val="3"/>
        </w:numPr>
        <w:rPr>
          <w:rFonts w:asciiTheme="minorHAnsi" w:hAnsiTheme="minorHAnsi" w:cstheme="minorHAnsi"/>
          <w:sz w:val="22"/>
        </w:rPr>
      </w:pPr>
      <w:r w:rsidRPr="000544D8">
        <w:rPr>
          <w:rFonts w:asciiTheme="minorHAnsi" w:hAnsiTheme="minorHAnsi" w:cstheme="minorHAnsi"/>
          <w:sz w:val="22"/>
        </w:rPr>
        <w:t xml:space="preserve">CMS Medicaid Innovation Accelerator Program at </w:t>
      </w:r>
      <w:hyperlink r:id="rId15" w:history="1">
        <w:r w:rsidRPr="000544D8">
          <w:rPr>
            <w:rStyle w:val="Hyperlink"/>
            <w:rFonts w:asciiTheme="minorHAnsi" w:hAnsiTheme="minorHAnsi" w:cstheme="minorHAnsi"/>
            <w:sz w:val="22"/>
          </w:rPr>
          <w:t>https://www.medicaid.gov/state-resource-center/innovation-accelerator-program/index.html</w:t>
        </w:r>
      </w:hyperlink>
      <w:r w:rsidRPr="000544D8">
        <w:rPr>
          <w:rFonts w:asciiTheme="minorHAnsi" w:hAnsiTheme="minorHAnsi" w:cstheme="minorHAnsi"/>
          <w:sz w:val="22"/>
        </w:rPr>
        <w:t xml:space="preserve"> </w:t>
      </w:r>
    </w:p>
    <w:p w14:paraId="672570BF" w14:textId="77777777" w:rsidR="000828B4" w:rsidRPr="00974D89" w:rsidRDefault="000828B4" w:rsidP="007768AB">
      <w:pPr>
        <w:pStyle w:val="BodyCambria10Black"/>
        <w:numPr>
          <w:ilvl w:val="0"/>
          <w:numId w:val="3"/>
        </w:numPr>
        <w:rPr>
          <w:rStyle w:val="Hyperlink"/>
          <w:rFonts w:asciiTheme="minorHAnsi" w:hAnsiTheme="minorHAnsi" w:cstheme="minorHAnsi"/>
          <w:color w:val="auto"/>
          <w:sz w:val="22"/>
          <w:u w:val="none"/>
        </w:rPr>
      </w:pPr>
      <w:r w:rsidRPr="000544D8">
        <w:rPr>
          <w:rFonts w:asciiTheme="minorHAnsi" w:hAnsiTheme="minorHAnsi" w:cstheme="minorHAnsi"/>
          <w:sz w:val="22"/>
        </w:rPr>
        <w:lastRenderedPageBreak/>
        <w:t xml:space="preserve">CMS Health Care Payment and Action Network at </w:t>
      </w:r>
      <w:hyperlink r:id="rId16" w:history="1">
        <w:r w:rsidRPr="000544D8">
          <w:rPr>
            <w:rStyle w:val="Hyperlink"/>
            <w:rFonts w:asciiTheme="minorHAnsi" w:hAnsiTheme="minorHAnsi" w:cstheme="minorHAnsi"/>
            <w:sz w:val="22"/>
          </w:rPr>
          <w:t>https://innovation.cms.gov/initiatives/Health-Care-Payment-Learning-and-Action-Network/</w:t>
        </w:r>
      </w:hyperlink>
    </w:p>
    <w:p w14:paraId="1BEB1DEA" w14:textId="25DE1AF9" w:rsidR="00974D89" w:rsidRPr="00C215E8" w:rsidRDefault="00974D89" w:rsidP="00974D89">
      <w:pPr>
        <w:pStyle w:val="BodyCambria10Black"/>
        <w:rPr>
          <w:rFonts w:asciiTheme="minorHAnsi" w:hAnsiTheme="minorHAnsi" w:cstheme="minorHAnsi"/>
          <w:b/>
          <w:sz w:val="22"/>
          <w:u w:val="single"/>
        </w:rPr>
      </w:pPr>
      <w:r w:rsidRPr="00C215E8">
        <w:rPr>
          <w:rFonts w:asciiTheme="minorHAnsi" w:hAnsiTheme="minorHAnsi" w:cstheme="minorHAnsi"/>
          <w:b/>
          <w:sz w:val="22"/>
          <w:u w:val="single"/>
        </w:rPr>
        <w:t xml:space="preserve">Other </w:t>
      </w:r>
      <w:r w:rsidR="00C215E8" w:rsidRPr="00C215E8">
        <w:rPr>
          <w:rFonts w:asciiTheme="minorHAnsi" w:hAnsiTheme="minorHAnsi" w:cstheme="minorHAnsi"/>
          <w:b/>
          <w:sz w:val="22"/>
          <w:u w:val="single"/>
        </w:rPr>
        <w:t xml:space="preserve">VBP Arrangement </w:t>
      </w:r>
      <w:r w:rsidRPr="00C215E8">
        <w:rPr>
          <w:rFonts w:asciiTheme="minorHAnsi" w:hAnsiTheme="minorHAnsi" w:cstheme="minorHAnsi"/>
          <w:b/>
          <w:sz w:val="22"/>
          <w:u w:val="single"/>
        </w:rPr>
        <w:t>Examples</w:t>
      </w:r>
    </w:p>
    <w:p w14:paraId="4C4BC22E" w14:textId="086CC96F" w:rsidR="007060DB" w:rsidRPr="007060DB" w:rsidRDefault="00C215E8" w:rsidP="007060DB">
      <w:pPr>
        <w:pStyle w:val="BodyCambria10Black"/>
        <w:rPr>
          <w:rFonts w:asciiTheme="minorHAnsi" w:hAnsiTheme="minorHAnsi" w:cstheme="minorHAnsi"/>
        </w:rPr>
      </w:pPr>
      <w:r w:rsidRPr="00C215E8">
        <w:rPr>
          <w:rFonts w:asciiTheme="minorHAnsi" w:hAnsiTheme="minorHAnsi" w:cstheme="minorHAnsi"/>
          <w:sz w:val="22"/>
        </w:rPr>
        <w:t>Arizona MCE</w:t>
      </w:r>
      <w:r w:rsidR="007060DB" w:rsidRPr="00C215E8">
        <w:rPr>
          <w:rFonts w:asciiTheme="minorHAnsi" w:hAnsiTheme="minorHAnsi" w:cstheme="minorHAnsi"/>
          <w:sz w:val="22"/>
        </w:rPr>
        <w:t xml:space="preserve"> VBP</w:t>
      </w:r>
      <w:r w:rsidR="007060DB" w:rsidRPr="007060DB">
        <w:rPr>
          <w:rFonts w:asciiTheme="minorHAnsi" w:hAnsiTheme="minorHAnsi" w:cstheme="minorHAnsi"/>
        </w:rPr>
        <w:t xml:space="preserve"> </w:t>
      </w:r>
    </w:p>
    <w:p w14:paraId="11654BE2" w14:textId="0D7932D6" w:rsidR="005D6E5A" w:rsidRPr="00C215E8" w:rsidRDefault="007768AB" w:rsidP="007768AB">
      <w:pPr>
        <w:pStyle w:val="BodyCambria10Black"/>
        <w:numPr>
          <w:ilvl w:val="0"/>
          <w:numId w:val="22"/>
        </w:numPr>
        <w:rPr>
          <w:rFonts w:asciiTheme="minorHAnsi" w:hAnsiTheme="minorHAnsi" w:cstheme="minorHAnsi"/>
          <w:sz w:val="22"/>
        </w:rPr>
      </w:pPr>
      <w:r w:rsidRPr="00C215E8">
        <w:rPr>
          <w:rFonts w:asciiTheme="minorHAnsi" w:hAnsiTheme="minorHAnsi" w:cstheme="minorHAnsi"/>
          <w:sz w:val="22"/>
        </w:rPr>
        <w:t>Arizona Long Term Ca</w:t>
      </w:r>
      <w:r w:rsidR="00C215E8">
        <w:rPr>
          <w:rFonts w:asciiTheme="minorHAnsi" w:hAnsiTheme="minorHAnsi" w:cstheme="minorHAnsi"/>
          <w:sz w:val="22"/>
        </w:rPr>
        <w:t>re System to have minimum of 50 percent</w:t>
      </w:r>
      <w:r w:rsidRPr="00C215E8">
        <w:rPr>
          <w:rFonts w:asciiTheme="minorHAnsi" w:hAnsiTheme="minorHAnsi" w:cstheme="minorHAnsi"/>
          <w:sz w:val="22"/>
        </w:rPr>
        <w:t xml:space="preserve"> of total payments be value-based by 2019.</w:t>
      </w:r>
    </w:p>
    <w:p w14:paraId="761CE987" w14:textId="03FCD384" w:rsidR="005D6E5A" w:rsidRPr="00C215E8" w:rsidRDefault="00C215E8" w:rsidP="007768AB">
      <w:pPr>
        <w:pStyle w:val="BodyCambria10Black"/>
        <w:numPr>
          <w:ilvl w:val="0"/>
          <w:numId w:val="22"/>
        </w:numPr>
        <w:rPr>
          <w:rFonts w:asciiTheme="minorHAnsi" w:hAnsiTheme="minorHAnsi" w:cstheme="minorHAnsi"/>
          <w:sz w:val="22"/>
        </w:rPr>
      </w:pPr>
      <w:r>
        <w:rPr>
          <w:rFonts w:asciiTheme="minorHAnsi" w:hAnsiTheme="minorHAnsi" w:cstheme="minorHAnsi"/>
          <w:sz w:val="22"/>
        </w:rPr>
        <w:t>Can receive up to one percent of the per member per month payment</w:t>
      </w:r>
      <w:r w:rsidR="007768AB" w:rsidRPr="00C215E8">
        <w:rPr>
          <w:rFonts w:asciiTheme="minorHAnsi" w:hAnsiTheme="minorHAnsi" w:cstheme="minorHAnsi"/>
          <w:sz w:val="22"/>
        </w:rPr>
        <w:t xml:space="preserve"> if they meet certain quality measures.</w:t>
      </w:r>
    </w:p>
    <w:p w14:paraId="4E37C45F" w14:textId="311A3F6D" w:rsidR="005D6E5A" w:rsidRDefault="00C215E8" w:rsidP="007768AB">
      <w:pPr>
        <w:pStyle w:val="BodyCambria10Black"/>
        <w:numPr>
          <w:ilvl w:val="0"/>
          <w:numId w:val="22"/>
        </w:numPr>
        <w:rPr>
          <w:rFonts w:asciiTheme="minorHAnsi" w:hAnsiTheme="minorHAnsi" w:cstheme="minorHAnsi"/>
          <w:sz w:val="22"/>
        </w:rPr>
      </w:pPr>
      <w:r>
        <w:rPr>
          <w:rFonts w:asciiTheme="minorHAnsi" w:hAnsiTheme="minorHAnsi" w:cstheme="minorHAnsi"/>
          <w:sz w:val="22"/>
        </w:rPr>
        <w:t>MCE</w:t>
      </w:r>
      <w:r w:rsidR="007768AB" w:rsidRPr="00C215E8">
        <w:rPr>
          <w:rFonts w:asciiTheme="minorHAnsi" w:hAnsiTheme="minorHAnsi" w:cstheme="minorHAnsi"/>
          <w:sz w:val="22"/>
        </w:rPr>
        <w:t xml:space="preserve">s have implemented </w:t>
      </w:r>
      <w:r>
        <w:rPr>
          <w:rFonts w:asciiTheme="minorHAnsi" w:hAnsiTheme="minorHAnsi" w:cstheme="minorHAnsi"/>
          <w:sz w:val="22"/>
        </w:rPr>
        <w:t>p</w:t>
      </w:r>
      <w:r w:rsidR="007768AB" w:rsidRPr="00C215E8">
        <w:rPr>
          <w:rFonts w:asciiTheme="minorHAnsi" w:hAnsiTheme="minorHAnsi" w:cstheme="minorHAnsi"/>
          <w:sz w:val="22"/>
        </w:rPr>
        <w:t xml:space="preserve">ay for </w:t>
      </w:r>
      <w:r>
        <w:rPr>
          <w:rFonts w:asciiTheme="minorHAnsi" w:hAnsiTheme="minorHAnsi" w:cstheme="minorHAnsi"/>
          <w:sz w:val="22"/>
        </w:rPr>
        <w:t>p</w:t>
      </w:r>
      <w:r w:rsidR="007768AB" w:rsidRPr="00C215E8">
        <w:rPr>
          <w:rFonts w:asciiTheme="minorHAnsi" w:hAnsiTheme="minorHAnsi" w:cstheme="minorHAnsi"/>
          <w:sz w:val="22"/>
        </w:rPr>
        <w:t>erformance (P4P), PCMH, shared savings, and bundled payment programs in response to the VBP requirement.</w:t>
      </w:r>
    </w:p>
    <w:p w14:paraId="532A75A0" w14:textId="2BD34E23" w:rsidR="00C215E8" w:rsidRDefault="007255FF" w:rsidP="00C215E8">
      <w:pPr>
        <w:pStyle w:val="BodyCambria10Black"/>
        <w:rPr>
          <w:rFonts w:asciiTheme="minorHAnsi" w:hAnsiTheme="minorHAnsi" w:cstheme="minorHAnsi"/>
          <w:sz w:val="22"/>
        </w:rPr>
      </w:pPr>
      <w:hyperlink r:id="rId17" w:history="1">
        <w:r w:rsidR="00C215E8" w:rsidRPr="00E15B35">
          <w:rPr>
            <w:rStyle w:val="Hyperlink"/>
            <w:rFonts w:asciiTheme="minorHAnsi" w:hAnsiTheme="minorHAnsi" w:cstheme="minorHAnsi"/>
            <w:sz w:val="22"/>
          </w:rPr>
          <w:t>https://www.azahcccs.gov/AHCCCS/Initiatives/PaymentModernization/valuebasedpurchasing.html</w:t>
        </w:r>
      </w:hyperlink>
    </w:p>
    <w:p w14:paraId="68EFC761" w14:textId="1B4C2174" w:rsidR="007060DB" w:rsidRPr="00C215E8" w:rsidRDefault="00C215E8" w:rsidP="007060DB">
      <w:pPr>
        <w:pStyle w:val="BodyCambria10Black"/>
        <w:rPr>
          <w:rFonts w:asciiTheme="minorHAnsi" w:hAnsiTheme="minorHAnsi" w:cstheme="minorHAnsi"/>
          <w:sz w:val="22"/>
        </w:rPr>
      </w:pPr>
      <w:r>
        <w:rPr>
          <w:rFonts w:asciiTheme="minorHAnsi" w:hAnsiTheme="minorHAnsi" w:cstheme="minorHAnsi"/>
          <w:sz w:val="22"/>
        </w:rPr>
        <w:t>Pennsylvania MCE</w:t>
      </w:r>
      <w:r w:rsidR="007060DB" w:rsidRPr="00C215E8">
        <w:rPr>
          <w:rFonts w:asciiTheme="minorHAnsi" w:hAnsiTheme="minorHAnsi" w:cstheme="minorHAnsi"/>
          <w:sz w:val="22"/>
        </w:rPr>
        <w:t xml:space="preserve"> VBP</w:t>
      </w:r>
    </w:p>
    <w:p w14:paraId="51C0C95A" w14:textId="32245744" w:rsidR="005D6E5A" w:rsidRPr="00C215E8" w:rsidRDefault="00C215E8" w:rsidP="007768AB">
      <w:pPr>
        <w:pStyle w:val="BodyCambria10Black"/>
        <w:numPr>
          <w:ilvl w:val="0"/>
          <w:numId w:val="23"/>
        </w:numPr>
        <w:rPr>
          <w:rFonts w:asciiTheme="minorHAnsi" w:hAnsiTheme="minorHAnsi" w:cstheme="minorHAnsi"/>
          <w:sz w:val="22"/>
        </w:rPr>
      </w:pPr>
      <w:r>
        <w:rPr>
          <w:rFonts w:asciiTheme="minorHAnsi" w:hAnsiTheme="minorHAnsi" w:cstheme="minorHAnsi"/>
          <w:sz w:val="22"/>
        </w:rPr>
        <w:t>MCE</w:t>
      </w:r>
      <w:r w:rsidR="007768AB" w:rsidRPr="00C215E8">
        <w:rPr>
          <w:rFonts w:asciiTheme="minorHAnsi" w:hAnsiTheme="minorHAnsi" w:cstheme="minorHAnsi"/>
          <w:sz w:val="22"/>
        </w:rPr>
        <w:t>s are eligible for bonus payments based on perfor</w:t>
      </w:r>
      <w:r>
        <w:rPr>
          <w:rFonts w:asciiTheme="minorHAnsi" w:hAnsiTheme="minorHAnsi" w:cstheme="minorHAnsi"/>
          <w:sz w:val="22"/>
        </w:rPr>
        <w:t xml:space="preserve">mance compared to 11 </w:t>
      </w:r>
      <w:r w:rsidR="00931748" w:rsidRPr="0064402A">
        <w:rPr>
          <w:rFonts w:asciiTheme="minorHAnsi" w:hAnsiTheme="minorHAnsi" w:cstheme="minorHAnsi"/>
          <w:sz w:val="22"/>
        </w:rPr>
        <w:t>HEDIS®</w:t>
      </w:r>
      <w:r>
        <w:rPr>
          <w:rFonts w:asciiTheme="minorHAnsi" w:hAnsiTheme="minorHAnsi" w:cstheme="minorHAnsi"/>
          <w:sz w:val="22"/>
        </w:rPr>
        <w:t xml:space="preserve"> and one non-</w:t>
      </w:r>
      <w:r w:rsidR="00931748" w:rsidRPr="00931748">
        <w:rPr>
          <w:rFonts w:asciiTheme="minorHAnsi" w:hAnsiTheme="minorHAnsi" w:cstheme="minorHAnsi"/>
          <w:sz w:val="22"/>
        </w:rPr>
        <w:t xml:space="preserve"> </w:t>
      </w:r>
      <w:r w:rsidR="00931748" w:rsidRPr="0064402A">
        <w:rPr>
          <w:rFonts w:asciiTheme="minorHAnsi" w:hAnsiTheme="minorHAnsi" w:cstheme="minorHAnsi"/>
          <w:sz w:val="22"/>
        </w:rPr>
        <w:t>HEDIS®</w:t>
      </w:r>
      <w:r>
        <w:rPr>
          <w:rFonts w:asciiTheme="minorHAnsi" w:hAnsiTheme="minorHAnsi" w:cstheme="minorHAnsi"/>
          <w:sz w:val="22"/>
        </w:rPr>
        <w:t xml:space="preserve"> measure</w:t>
      </w:r>
      <w:r w:rsidR="007768AB" w:rsidRPr="00C215E8">
        <w:rPr>
          <w:rFonts w:asciiTheme="minorHAnsi" w:hAnsiTheme="minorHAnsi" w:cstheme="minorHAnsi"/>
          <w:sz w:val="22"/>
        </w:rPr>
        <w:t>.</w:t>
      </w:r>
    </w:p>
    <w:p w14:paraId="6BF957DC" w14:textId="67A3EFEA" w:rsidR="005D6E5A" w:rsidRPr="00C215E8" w:rsidRDefault="00C215E8" w:rsidP="007768AB">
      <w:pPr>
        <w:pStyle w:val="BodyCambria10Black"/>
        <w:numPr>
          <w:ilvl w:val="0"/>
          <w:numId w:val="23"/>
        </w:numPr>
        <w:rPr>
          <w:rFonts w:asciiTheme="minorHAnsi" w:hAnsiTheme="minorHAnsi" w:cstheme="minorHAnsi"/>
          <w:sz w:val="22"/>
        </w:rPr>
      </w:pPr>
      <w:r>
        <w:rPr>
          <w:rFonts w:asciiTheme="minorHAnsi" w:hAnsiTheme="minorHAnsi" w:cstheme="minorHAnsi"/>
          <w:sz w:val="22"/>
        </w:rPr>
        <w:t>Can receive up to 1.5 percent</w:t>
      </w:r>
      <w:r w:rsidR="007768AB" w:rsidRPr="00C215E8">
        <w:rPr>
          <w:rFonts w:asciiTheme="minorHAnsi" w:hAnsiTheme="minorHAnsi" w:cstheme="minorHAnsi"/>
          <w:sz w:val="22"/>
        </w:rPr>
        <w:t xml:space="preserve"> of the </w:t>
      </w:r>
      <w:r>
        <w:rPr>
          <w:rFonts w:asciiTheme="minorHAnsi" w:hAnsiTheme="minorHAnsi" w:cstheme="minorHAnsi"/>
          <w:sz w:val="22"/>
        </w:rPr>
        <w:t>per member per month payment</w:t>
      </w:r>
      <w:r w:rsidR="007768AB" w:rsidRPr="00C215E8">
        <w:rPr>
          <w:rFonts w:asciiTheme="minorHAnsi" w:hAnsiTheme="minorHAnsi" w:cstheme="minorHAnsi"/>
          <w:sz w:val="22"/>
        </w:rPr>
        <w:t>.</w:t>
      </w:r>
    </w:p>
    <w:p w14:paraId="57AC8EC7" w14:textId="783E8E39" w:rsidR="005D6E5A" w:rsidRPr="00C215E8" w:rsidRDefault="00C215E8" w:rsidP="007768AB">
      <w:pPr>
        <w:pStyle w:val="BodyCambria10Black"/>
        <w:numPr>
          <w:ilvl w:val="0"/>
          <w:numId w:val="23"/>
        </w:numPr>
        <w:rPr>
          <w:rFonts w:asciiTheme="minorHAnsi" w:hAnsiTheme="minorHAnsi" w:cstheme="minorHAnsi"/>
          <w:sz w:val="22"/>
        </w:rPr>
      </w:pPr>
      <w:r>
        <w:rPr>
          <w:rFonts w:asciiTheme="minorHAnsi" w:hAnsiTheme="minorHAnsi" w:cstheme="minorHAnsi"/>
          <w:sz w:val="22"/>
        </w:rPr>
        <w:t>One percent</w:t>
      </w:r>
      <w:r w:rsidR="007768AB" w:rsidRPr="00C215E8">
        <w:rPr>
          <w:rFonts w:asciiTheme="minorHAnsi" w:hAnsiTheme="minorHAnsi" w:cstheme="minorHAnsi"/>
          <w:sz w:val="22"/>
        </w:rPr>
        <w:t xml:space="preserve"> of t</w:t>
      </w:r>
      <w:r>
        <w:rPr>
          <w:rFonts w:asciiTheme="minorHAnsi" w:hAnsiTheme="minorHAnsi" w:cstheme="minorHAnsi"/>
          <w:sz w:val="22"/>
        </w:rPr>
        <w:t>he incentive pool is for the MCE</w:t>
      </w:r>
      <w:r w:rsidR="007768AB" w:rsidRPr="00C215E8">
        <w:rPr>
          <w:rFonts w:asciiTheme="minorHAnsi" w:hAnsiTheme="minorHAnsi" w:cstheme="minorHAnsi"/>
          <w:sz w:val="22"/>
        </w:rPr>
        <w:t>s’ performance in comparison to national be</w:t>
      </w:r>
      <w:r>
        <w:rPr>
          <w:rFonts w:asciiTheme="minorHAnsi" w:hAnsiTheme="minorHAnsi" w:cstheme="minorHAnsi"/>
          <w:sz w:val="22"/>
        </w:rPr>
        <w:t>nchmarks, and the remaining 0.5 percent is for the MCE</w:t>
      </w:r>
      <w:r w:rsidR="007768AB" w:rsidRPr="00C215E8">
        <w:rPr>
          <w:rFonts w:asciiTheme="minorHAnsi" w:hAnsiTheme="minorHAnsi" w:cstheme="minorHAnsi"/>
          <w:sz w:val="22"/>
        </w:rPr>
        <w:t>’s year-to-year improvement on each measure.</w:t>
      </w:r>
    </w:p>
    <w:p w14:paraId="11EE4BE0" w14:textId="2F4CD290" w:rsidR="005D6E5A" w:rsidRDefault="007768AB" w:rsidP="007768AB">
      <w:pPr>
        <w:pStyle w:val="BodyCambria10Black"/>
        <w:numPr>
          <w:ilvl w:val="0"/>
          <w:numId w:val="23"/>
        </w:numPr>
        <w:rPr>
          <w:rFonts w:asciiTheme="minorHAnsi" w:hAnsiTheme="minorHAnsi" w:cstheme="minorHAnsi"/>
          <w:sz w:val="22"/>
        </w:rPr>
      </w:pPr>
      <w:r w:rsidRPr="00C215E8">
        <w:rPr>
          <w:rFonts w:asciiTheme="minorHAnsi" w:hAnsiTheme="minorHAnsi" w:cstheme="minorHAnsi"/>
          <w:sz w:val="22"/>
        </w:rPr>
        <w:t>A penalty was incorporat</w:t>
      </w:r>
      <w:r w:rsidR="00C215E8">
        <w:rPr>
          <w:rFonts w:asciiTheme="minorHAnsi" w:hAnsiTheme="minorHAnsi" w:cstheme="minorHAnsi"/>
          <w:sz w:val="22"/>
        </w:rPr>
        <w:t>ed for MCO performance below 50 percent</w:t>
      </w:r>
      <w:r w:rsidRPr="00C215E8">
        <w:rPr>
          <w:rFonts w:asciiTheme="minorHAnsi" w:hAnsiTheme="minorHAnsi" w:cstheme="minorHAnsi"/>
          <w:sz w:val="22"/>
        </w:rPr>
        <w:t xml:space="preserve"> of a national Medicaid benchmark.</w:t>
      </w:r>
    </w:p>
    <w:p w14:paraId="3F683BDC" w14:textId="5EC14424" w:rsidR="00461778" w:rsidRDefault="007255FF" w:rsidP="00461778">
      <w:pPr>
        <w:pStyle w:val="BodyCambria10Black"/>
        <w:rPr>
          <w:rFonts w:asciiTheme="minorHAnsi" w:hAnsiTheme="minorHAnsi" w:cstheme="minorHAnsi"/>
          <w:sz w:val="22"/>
        </w:rPr>
      </w:pPr>
      <w:hyperlink r:id="rId18" w:history="1">
        <w:r w:rsidR="00461778" w:rsidRPr="00E15B35">
          <w:rPr>
            <w:rStyle w:val="Hyperlink"/>
            <w:rFonts w:asciiTheme="minorHAnsi" w:hAnsiTheme="minorHAnsi" w:cstheme="minorHAnsi"/>
            <w:sz w:val="22"/>
          </w:rPr>
          <w:t>http://www.healthchoices.pa.gov/providers/resources/valuebasedpurchasing/index.htm</w:t>
        </w:r>
      </w:hyperlink>
    </w:p>
    <w:p w14:paraId="2AED581C" w14:textId="3422ADD7" w:rsidR="007060DB" w:rsidRPr="0064402A" w:rsidRDefault="00931748" w:rsidP="007060DB">
      <w:pPr>
        <w:pStyle w:val="BodyCambria10Black"/>
        <w:rPr>
          <w:rFonts w:asciiTheme="minorHAnsi" w:hAnsiTheme="minorHAnsi" w:cstheme="minorHAnsi"/>
          <w:sz w:val="22"/>
        </w:rPr>
      </w:pPr>
      <w:r>
        <w:rPr>
          <w:rFonts w:asciiTheme="minorHAnsi" w:hAnsiTheme="minorHAnsi" w:cstheme="minorHAnsi"/>
          <w:sz w:val="22"/>
        </w:rPr>
        <w:t>Kansas MCE</w:t>
      </w:r>
      <w:r w:rsidR="007060DB" w:rsidRPr="0064402A">
        <w:rPr>
          <w:rFonts w:asciiTheme="minorHAnsi" w:hAnsiTheme="minorHAnsi" w:cstheme="minorHAnsi"/>
          <w:sz w:val="22"/>
        </w:rPr>
        <w:t xml:space="preserve"> VBP Program</w:t>
      </w:r>
    </w:p>
    <w:p w14:paraId="6E59E450" w14:textId="472EFA38" w:rsidR="005D6E5A" w:rsidRPr="0064402A" w:rsidRDefault="00931748" w:rsidP="007768AB">
      <w:pPr>
        <w:pStyle w:val="BodyCambria10Black"/>
        <w:numPr>
          <w:ilvl w:val="0"/>
          <w:numId w:val="27"/>
        </w:numPr>
        <w:rPr>
          <w:rFonts w:asciiTheme="minorHAnsi" w:hAnsiTheme="minorHAnsi" w:cstheme="minorHAnsi"/>
          <w:sz w:val="22"/>
        </w:rPr>
      </w:pPr>
      <w:r>
        <w:rPr>
          <w:rFonts w:asciiTheme="minorHAnsi" w:hAnsiTheme="minorHAnsi" w:cstheme="minorHAnsi"/>
          <w:sz w:val="22"/>
        </w:rPr>
        <w:t>Withhold five percent</w:t>
      </w:r>
      <w:r w:rsidR="007768AB" w:rsidRPr="0064402A">
        <w:rPr>
          <w:rFonts w:asciiTheme="minorHAnsi" w:hAnsiTheme="minorHAnsi" w:cstheme="minorHAnsi"/>
          <w:sz w:val="22"/>
        </w:rPr>
        <w:t xml:space="preserve"> of </w:t>
      </w:r>
      <w:r>
        <w:rPr>
          <w:rFonts w:asciiTheme="minorHAnsi" w:hAnsiTheme="minorHAnsi" w:cstheme="minorHAnsi"/>
          <w:sz w:val="22"/>
        </w:rPr>
        <w:t>payments for incentive payments</w:t>
      </w:r>
      <w:r w:rsidR="007768AB" w:rsidRPr="0064402A">
        <w:rPr>
          <w:rFonts w:asciiTheme="minorHAnsi" w:hAnsiTheme="minorHAnsi" w:cstheme="minorHAnsi"/>
          <w:sz w:val="22"/>
        </w:rPr>
        <w:t>.</w:t>
      </w:r>
    </w:p>
    <w:p w14:paraId="0998CF78" w14:textId="581E3B5B" w:rsidR="005D6E5A" w:rsidRPr="0064402A" w:rsidRDefault="00931748" w:rsidP="007768AB">
      <w:pPr>
        <w:pStyle w:val="BodyCambria10Black"/>
        <w:numPr>
          <w:ilvl w:val="0"/>
          <w:numId w:val="27"/>
        </w:numPr>
        <w:rPr>
          <w:rFonts w:asciiTheme="minorHAnsi" w:hAnsiTheme="minorHAnsi" w:cstheme="minorHAnsi"/>
          <w:sz w:val="22"/>
        </w:rPr>
      </w:pPr>
      <w:r>
        <w:rPr>
          <w:rFonts w:asciiTheme="minorHAnsi" w:hAnsiTheme="minorHAnsi" w:cstheme="minorHAnsi"/>
          <w:sz w:val="22"/>
        </w:rPr>
        <w:t>Pays MCE</w:t>
      </w:r>
      <w:r w:rsidR="007768AB" w:rsidRPr="0064402A">
        <w:rPr>
          <w:rFonts w:asciiTheme="minorHAnsi" w:hAnsiTheme="minorHAnsi" w:cstheme="minorHAnsi"/>
          <w:sz w:val="22"/>
        </w:rPr>
        <w:t>s part or all of withheld payments, depending on how m</w:t>
      </w:r>
      <w:r>
        <w:rPr>
          <w:rFonts w:asciiTheme="minorHAnsi" w:hAnsiTheme="minorHAnsi" w:cstheme="minorHAnsi"/>
          <w:sz w:val="22"/>
        </w:rPr>
        <w:t>any performance measures the MCE</w:t>
      </w:r>
      <w:r w:rsidR="007768AB" w:rsidRPr="0064402A">
        <w:rPr>
          <w:rFonts w:asciiTheme="minorHAnsi" w:hAnsiTheme="minorHAnsi" w:cstheme="minorHAnsi"/>
          <w:sz w:val="22"/>
        </w:rPr>
        <w:t xml:space="preserve"> meets.</w:t>
      </w:r>
    </w:p>
    <w:p w14:paraId="465BF28E" w14:textId="2393F5AA" w:rsidR="005D6E5A" w:rsidRDefault="007768AB" w:rsidP="007768AB">
      <w:pPr>
        <w:pStyle w:val="BodyCambria10Black"/>
        <w:numPr>
          <w:ilvl w:val="0"/>
          <w:numId w:val="27"/>
        </w:numPr>
        <w:rPr>
          <w:rFonts w:asciiTheme="minorHAnsi" w:hAnsiTheme="minorHAnsi" w:cstheme="minorHAnsi"/>
          <w:sz w:val="22"/>
        </w:rPr>
      </w:pPr>
      <w:r w:rsidRPr="0064402A">
        <w:rPr>
          <w:rFonts w:asciiTheme="minorHAnsi" w:hAnsiTheme="minorHAnsi" w:cstheme="minorHAnsi"/>
          <w:sz w:val="22"/>
        </w:rPr>
        <w:t xml:space="preserve">Use national standards such as </w:t>
      </w:r>
      <w:r w:rsidR="00931748" w:rsidRPr="0064402A">
        <w:rPr>
          <w:rFonts w:asciiTheme="minorHAnsi" w:hAnsiTheme="minorHAnsi" w:cstheme="minorHAnsi"/>
          <w:sz w:val="22"/>
        </w:rPr>
        <w:t>HEDIS®</w:t>
      </w:r>
      <w:r w:rsidR="00931748">
        <w:rPr>
          <w:rFonts w:asciiTheme="minorHAnsi" w:hAnsiTheme="minorHAnsi" w:cstheme="minorHAnsi"/>
          <w:sz w:val="22"/>
        </w:rPr>
        <w:t xml:space="preserve"> </w:t>
      </w:r>
      <w:r w:rsidRPr="0064402A">
        <w:rPr>
          <w:rFonts w:asciiTheme="minorHAnsi" w:hAnsiTheme="minorHAnsi" w:cstheme="minorHAnsi"/>
          <w:sz w:val="22"/>
        </w:rPr>
        <w:t>benchmarks and Substance Abuse and Mental Health Services Administration’s (SAMHSA) National Outcome Measures (NOMs).</w:t>
      </w:r>
    </w:p>
    <w:p w14:paraId="315315AC" w14:textId="1ECF24EA" w:rsidR="00947D67" w:rsidRDefault="007255FF" w:rsidP="00947D67">
      <w:pPr>
        <w:pStyle w:val="BodyCambria10Black"/>
        <w:rPr>
          <w:rFonts w:asciiTheme="minorHAnsi" w:hAnsiTheme="minorHAnsi" w:cstheme="minorHAnsi"/>
          <w:sz w:val="22"/>
        </w:rPr>
      </w:pPr>
      <w:hyperlink r:id="rId19" w:history="1">
        <w:r w:rsidR="00947D67" w:rsidRPr="00E15B35">
          <w:rPr>
            <w:rStyle w:val="Hyperlink"/>
            <w:rFonts w:asciiTheme="minorHAnsi" w:hAnsiTheme="minorHAnsi" w:cstheme="minorHAnsi"/>
            <w:sz w:val="22"/>
          </w:rPr>
          <w:t>https://www.kancare.ks.gov/docs/default-source/about-kancare/kancare-renewal-forums/kancare-renewal/kancare-2-0-waiver-renewal-application---for-public-comment.pdf</w:t>
        </w:r>
      </w:hyperlink>
    </w:p>
    <w:p w14:paraId="3DD5751F" w14:textId="77777777" w:rsidR="007060DB" w:rsidRPr="0064402A" w:rsidRDefault="007060DB" w:rsidP="007060DB">
      <w:pPr>
        <w:pStyle w:val="BodyCambria10Black"/>
        <w:rPr>
          <w:rFonts w:asciiTheme="minorHAnsi" w:hAnsiTheme="minorHAnsi" w:cstheme="minorHAnsi"/>
          <w:sz w:val="22"/>
        </w:rPr>
      </w:pPr>
      <w:r w:rsidRPr="0064402A">
        <w:rPr>
          <w:rFonts w:asciiTheme="minorHAnsi" w:hAnsiTheme="minorHAnsi" w:cstheme="minorHAnsi"/>
          <w:sz w:val="22"/>
        </w:rPr>
        <w:t>Oregon Coordinated Care Organization (CCO) P4P Program</w:t>
      </w:r>
    </w:p>
    <w:p w14:paraId="40FB0007" w14:textId="109217FE" w:rsidR="005D6E5A" w:rsidRPr="0064402A" w:rsidRDefault="007768AB" w:rsidP="007768AB">
      <w:pPr>
        <w:pStyle w:val="BodyCambria10Black"/>
        <w:numPr>
          <w:ilvl w:val="0"/>
          <w:numId w:val="26"/>
        </w:numPr>
        <w:rPr>
          <w:rFonts w:asciiTheme="minorHAnsi" w:hAnsiTheme="minorHAnsi" w:cstheme="minorHAnsi"/>
          <w:sz w:val="22"/>
        </w:rPr>
      </w:pPr>
      <w:r w:rsidRPr="0064402A">
        <w:rPr>
          <w:rFonts w:asciiTheme="minorHAnsi" w:hAnsiTheme="minorHAnsi" w:cstheme="minorHAnsi"/>
          <w:sz w:val="22"/>
        </w:rPr>
        <w:t>Annual Incentive Payments</w:t>
      </w:r>
      <w:r w:rsidR="00931748">
        <w:rPr>
          <w:rFonts w:asciiTheme="minorHAnsi" w:hAnsiTheme="minorHAnsi" w:cstheme="minorHAnsi"/>
          <w:sz w:val="22"/>
        </w:rPr>
        <w:t>.</w:t>
      </w:r>
    </w:p>
    <w:p w14:paraId="783CD73E" w14:textId="78D101E6" w:rsidR="005D6E5A" w:rsidRPr="0064402A" w:rsidRDefault="007768AB" w:rsidP="007768AB">
      <w:pPr>
        <w:pStyle w:val="BodyCambria10Black"/>
        <w:numPr>
          <w:ilvl w:val="0"/>
          <w:numId w:val="26"/>
        </w:numPr>
        <w:rPr>
          <w:rFonts w:asciiTheme="minorHAnsi" w:hAnsiTheme="minorHAnsi" w:cstheme="minorHAnsi"/>
          <w:sz w:val="22"/>
        </w:rPr>
      </w:pPr>
      <w:r w:rsidRPr="0064402A">
        <w:rPr>
          <w:rFonts w:asciiTheme="minorHAnsi" w:hAnsiTheme="minorHAnsi" w:cstheme="minorHAnsi"/>
          <w:sz w:val="22"/>
        </w:rPr>
        <w:t>Uses 18 Quality Benchmarks - 10 Healthcare Effectiveness D</w:t>
      </w:r>
      <w:r w:rsidR="00931748">
        <w:rPr>
          <w:rFonts w:asciiTheme="minorHAnsi" w:hAnsiTheme="minorHAnsi" w:cstheme="minorHAnsi"/>
          <w:sz w:val="22"/>
        </w:rPr>
        <w:t>ata and Information Set (</w:t>
      </w:r>
      <w:r w:rsidR="00931748" w:rsidRPr="0064402A">
        <w:rPr>
          <w:rFonts w:asciiTheme="minorHAnsi" w:hAnsiTheme="minorHAnsi" w:cstheme="minorHAnsi"/>
          <w:sz w:val="22"/>
        </w:rPr>
        <w:t>HEDIS®</w:t>
      </w:r>
      <w:r w:rsidR="00931748">
        <w:rPr>
          <w:rFonts w:asciiTheme="minorHAnsi" w:hAnsiTheme="minorHAnsi" w:cstheme="minorHAnsi"/>
          <w:sz w:val="22"/>
        </w:rPr>
        <w:t>) measures and eight</w:t>
      </w:r>
      <w:r w:rsidRPr="0064402A">
        <w:rPr>
          <w:rFonts w:asciiTheme="minorHAnsi" w:hAnsiTheme="minorHAnsi" w:cstheme="minorHAnsi"/>
          <w:sz w:val="22"/>
        </w:rPr>
        <w:t xml:space="preserve"> other types.</w:t>
      </w:r>
    </w:p>
    <w:p w14:paraId="511A6966" w14:textId="77777777" w:rsidR="005D6E5A" w:rsidRPr="0064402A" w:rsidRDefault="007768AB" w:rsidP="007768AB">
      <w:pPr>
        <w:pStyle w:val="BodyCambria10Black"/>
        <w:numPr>
          <w:ilvl w:val="0"/>
          <w:numId w:val="26"/>
        </w:numPr>
        <w:rPr>
          <w:rFonts w:asciiTheme="minorHAnsi" w:hAnsiTheme="minorHAnsi" w:cstheme="minorHAnsi"/>
          <w:sz w:val="22"/>
        </w:rPr>
      </w:pPr>
      <w:r w:rsidRPr="0064402A">
        <w:rPr>
          <w:rFonts w:asciiTheme="minorHAnsi" w:hAnsiTheme="minorHAnsi" w:cstheme="minorHAnsi"/>
          <w:sz w:val="22"/>
        </w:rPr>
        <w:t>CCO can qualify for incentive payments by meeting the absolute goal or achieving the improvement goal.</w:t>
      </w:r>
    </w:p>
    <w:p w14:paraId="7D4A3BE7" w14:textId="727C53BA" w:rsidR="005D6E5A" w:rsidRPr="0064402A" w:rsidRDefault="007768AB" w:rsidP="007768AB">
      <w:pPr>
        <w:pStyle w:val="BodyCambria10Black"/>
        <w:numPr>
          <w:ilvl w:val="0"/>
          <w:numId w:val="26"/>
        </w:numPr>
        <w:rPr>
          <w:rFonts w:asciiTheme="minorHAnsi" w:hAnsiTheme="minorHAnsi" w:cstheme="minorHAnsi"/>
          <w:sz w:val="22"/>
        </w:rPr>
      </w:pPr>
      <w:r w:rsidRPr="0064402A">
        <w:rPr>
          <w:rFonts w:asciiTheme="minorHAnsi" w:hAnsiTheme="minorHAnsi" w:cstheme="minorHAnsi"/>
          <w:sz w:val="22"/>
        </w:rPr>
        <w:t>Absolute goal method</w:t>
      </w:r>
      <w:r w:rsidRPr="0064402A">
        <w:rPr>
          <w:rFonts w:asciiTheme="minorHAnsi" w:hAnsiTheme="minorHAnsi" w:cstheme="minorHAnsi"/>
          <w:b/>
          <w:bCs/>
          <w:sz w:val="22"/>
        </w:rPr>
        <w:t xml:space="preserve">: </w:t>
      </w:r>
      <w:r w:rsidRPr="0064402A">
        <w:rPr>
          <w:rFonts w:asciiTheme="minorHAnsi" w:hAnsiTheme="minorHAnsi" w:cstheme="minorHAnsi"/>
          <w:sz w:val="22"/>
        </w:rPr>
        <w:t>Relies on nation</w:t>
      </w:r>
      <w:r w:rsidR="00931748">
        <w:rPr>
          <w:rFonts w:asciiTheme="minorHAnsi" w:hAnsiTheme="minorHAnsi" w:cstheme="minorHAnsi"/>
          <w:sz w:val="22"/>
        </w:rPr>
        <w:t xml:space="preserve">al standard, such as those set </w:t>
      </w:r>
      <w:r w:rsidRPr="0064402A">
        <w:rPr>
          <w:rFonts w:asciiTheme="minorHAnsi" w:hAnsiTheme="minorHAnsi" w:cstheme="minorHAnsi"/>
          <w:sz w:val="22"/>
        </w:rPr>
        <w:t>by HEDIS® measures, to set the benchmarks.</w:t>
      </w:r>
    </w:p>
    <w:p w14:paraId="23E9028F" w14:textId="6F5C0EA2" w:rsidR="005D6E5A" w:rsidRDefault="007768AB" w:rsidP="007768AB">
      <w:pPr>
        <w:pStyle w:val="BodyCambria10Black"/>
        <w:numPr>
          <w:ilvl w:val="0"/>
          <w:numId w:val="26"/>
        </w:numPr>
        <w:rPr>
          <w:rFonts w:asciiTheme="minorHAnsi" w:hAnsiTheme="minorHAnsi" w:cstheme="minorHAnsi"/>
          <w:sz w:val="22"/>
        </w:rPr>
      </w:pPr>
      <w:r w:rsidRPr="0064402A">
        <w:rPr>
          <w:rFonts w:asciiTheme="minorHAnsi" w:hAnsiTheme="minorHAnsi" w:cstheme="minorHAnsi"/>
          <w:sz w:val="22"/>
        </w:rPr>
        <w:t>Improvement goal method sets benchmarks for performance against an improvement target</w:t>
      </w:r>
      <w:r w:rsidR="00931748">
        <w:rPr>
          <w:rFonts w:asciiTheme="minorHAnsi" w:hAnsiTheme="minorHAnsi" w:cstheme="minorHAnsi"/>
          <w:sz w:val="22"/>
        </w:rPr>
        <w:t>. Oregon requires at least a 10 percent</w:t>
      </w:r>
      <w:r w:rsidRPr="0064402A">
        <w:rPr>
          <w:rFonts w:asciiTheme="minorHAnsi" w:hAnsiTheme="minorHAnsi" w:cstheme="minorHAnsi"/>
          <w:sz w:val="22"/>
        </w:rPr>
        <w:t xml:space="preserve"> reduction in the gap between a CCO’s prior year’s performance and the current goal.</w:t>
      </w:r>
    </w:p>
    <w:p w14:paraId="265E3642" w14:textId="042F608D" w:rsidR="00947D67" w:rsidRDefault="007255FF" w:rsidP="00947D67">
      <w:pPr>
        <w:pStyle w:val="BodyCambria10Black"/>
        <w:rPr>
          <w:rFonts w:asciiTheme="minorHAnsi" w:hAnsiTheme="minorHAnsi" w:cstheme="minorHAnsi"/>
          <w:sz w:val="22"/>
        </w:rPr>
      </w:pPr>
      <w:hyperlink r:id="rId20" w:history="1">
        <w:r w:rsidR="00947D67" w:rsidRPr="00E15B35">
          <w:rPr>
            <w:rStyle w:val="Hyperlink"/>
            <w:rFonts w:asciiTheme="minorHAnsi" w:hAnsiTheme="minorHAnsi" w:cstheme="minorHAnsi"/>
            <w:sz w:val="22"/>
          </w:rPr>
          <w:t>https://www.oregon.gov/OHA/HPA/ANALYTICS/Pages/CCO-Baseline-Data.aspx</w:t>
        </w:r>
      </w:hyperlink>
    </w:p>
    <w:p w14:paraId="3D13E252" w14:textId="77777777" w:rsidR="007060DB" w:rsidRPr="0064402A" w:rsidRDefault="007060DB" w:rsidP="007060DB">
      <w:pPr>
        <w:pStyle w:val="BodyCambria10Black"/>
        <w:rPr>
          <w:rFonts w:asciiTheme="minorHAnsi" w:hAnsiTheme="minorHAnsi" w:cstheme="minorHAnsi"/>
          <w:sz w:val="22"/>
        </w:rPr>
      </w:pPr>
      <w:r w:rsidRPr="0064402A">
        <w:rPr>
          <w:rFonts w:asciiTheme="minorHAnsi" w:hAnsiTheme="minorHAnsi" w:cstheme="minorHAnsi"/>
          <w:sz w:val="22"/>
        </w:rPr>
        <w:t>Maryland Global Budget Payment</w:t>
      </w:r>
    </w:p>
    <w:p w14:paraId="3EDE2A5F" w14:textId="77777777" w:rsidR="005D6E5A" w:rsidRPr="0064402A" w:rsidRDefault="007768AB" w:rsidP="007768AB">
      <w:pPr>
        <w:pStyle w:val="BodyCambria10Black"/>
        <w:numPr>
          <w:ilvl w:val="0"/>
          <w:numId w:val="25"/>
        </w:numPr>
        <w:rPr>
          <w:rFonts w:asciiTheme="minorHAnsi" w:hAnsiTheme="minorHAnsi" w:cstheme="minorHAnsi"/>
          <w:sz w:val="22"/>
        </w:rPr>
      </w:pPr>
      <w:r w:rsidRPr="0064402A">
        <w:rPr>
          <w:rFonts w:asciiTheme="minorHAnsi" w:hAnsiTheme="minorHAnsi" w:cstheme="minorHAnsi"/>
          <w:sz w:val="22"/>
        </w:rPr>
        <w:t xml:space="preserve">Under a global budget payment system MD Hospitals receive a fixed for a fixed period for a specific patient population. </w:t>
      </w:r>
    </w:p>
    <w:p w14:paraId="6C0C5C65" w14:textId="77777777" w:rsidR="005D6E5A" w:rsidRPr="0064402A" w:rsidRDefault="007768AB" w:rsidP="007768AB">
      <w:pPr>
        <w:pStyle w:val="BodyCambria10Black"/>
        <w:numPr>
          <w:ilvl w:val="0"/>
          <w:numId w:val="25"/>
        </w:numPr>
        <w:rPr>
          <w:rFonts w:asciiTheme="minorHAnsi" w:hAnsiTheme="minorHAnsi" w:cstheme="minorHAnsi"/>
          <w:sz w:val="22"/>
        </w:rPr>
      </w:pPr>
      <w:r w:rsidRPr="0064402A">
        <w:rPr>
          <w:rFonts w:asciiTheme="minorHAnsi" w:hAnsiTheme="minorHAnsi" w:cstheme="minorHAnsi"/>
          <w:sz w:val="22"/>
        </w:rPr>
        <w:t>Hospitals receive the payment regardless of case volume or intensity of services delivered.</w:t>
      </w:r>
    </w:p>
    <w:p w14:paraId="31417F63" w14:textId="77777777" w:rsidR="005D6E5A" w:rsidRPr="0064402A" w:rsidRDefault="007768AB" w:rsidP="007768AB">
      <w:pPr>
        <w:pStyle w:val="BodyCambria10Black"/>
        <w:numPr>
          <w:ilvl w:val="0"/>
          <w:numId w:val="25"/>
        </w:numPr>
        <w:rPr>
          <w:rFonts w:asciiTheme="minorHAnsi" w:hAnsiTheme="minorHAnsi" w:cstheme="minorHAnsi"/>
          <w:sz w:val="22"/>
        </w:rPr>
      </w:pPr>
      <w:r w:rsidRPr="0064402A">
        <w:rPr>
          <w:rFonts w:asciiTheme="minorHAnsi" w:hAnsiTheme="minorHAnsi" w:cstheme="minorHAnsi"/>
          <w:sz w:val="22"/>
        </w:rPr>
        <w:t>The all-payer global budget model reduced Medicare hospital costs by $429 million, exceeding the expectation that the model would save $330 million over five years.</w:t>
      </w:r>
    </w:p>
    <w:p w14:paraId="38C0B3A2" w14:textId="1DE24B46" w:rsidR="005D6E5A" w:rsidRDefault="007768AB" w:rsidP="007768AB">
      <w:pPr>
        <w:pStyle w:val="BodyCambria10Black"/>
        <w:numPr>
          <w:ilvl w:val="0"/>
          <w:numId w:val="25"/>
        </w:numPr>
        <w:rPr>
          <w:rFonts w:asciiTheme="minorHAnsi" w:hAnsiTheme="minorHAnsi" w:cstheme="minorHAnsi"/>
          <w:sz w:val="22"/>
        </w:rPr>
      </w:pPr>
      <w:r w:rsidRPr="0064402A">
        <w:rPr>
          <w:rFonts w:asciiTheme="minorHAnsi" w:hAnsiTheme="minorHAnsi" w:cstheme="minorHAnsi"/>
          <w:sz w:val="22"/>
        </w:rPr>
        <w:t xml:space="preserve">Maryland hospitals reduced potentially </w:t>
      </w:r>
      <w:r w:rsidR="00947D67">
        <w:rPr>
          <w:rFonts w:asciiTheme="minorHAnsi" w:hAnsiTheme="minorHAnsi" w:cstheme="minorHAnsi"/>
          <w:sz w:val="22"/>
        </w:rPr>
        <w:t>preventable complications by 48 percent</w:t>
      </w:r>
      <w:r w:rsidRPr="0064402A">
        <w:rPr>
          <w:rFonts w:asciiTheme="minorHAnsi" w:hAnsiTheme="minorHAnsi" w:cstheme="minorHAnsi"/>
          <w:sz w:val="22"/>
        </w:rPr>
        <w:t xml:space="preserve"> and improved the all-cause readmissi</w:t>
      </w:r>
      <w:r w:rsidR="00931748">
        <w:rPr>
          <w:rFonts w:asciiTheme="minorHAnsi" w:hAnsiTheme="minorHAnsi" w:cstheme="minorHAnsi"/>
          <w:sz w:val="22"/>
        </w:rPr>
        <w:t>on rate by 57 percent</w:t>
      </w:r>
      <w:r w:rsidRPr="0064402A">
        <w:rPr>
          <w:rFonts w:asciiTheme="minorHAnsi" w:hAnsiTheme="minorHAnsi" w:cstheme="minorHAnsi"/>
          <w:sz w:val="22"/>
        </w:rPr>
        <w:t>.</w:t>
      </w:r>
    </w:p>
    <w:p w14:paraId="7819E38A" w14:textId="48038112" w:rsidR="00947D67" w:rsidRDefault="007255FF" w:rsidP="00947D67">
      <w:pPr>
        <w:pStyle w:val="BodyCambria10Black"/>
        <w:rPr>
          <w:rFonts w:asciiTheme="minorHAnsi" w:hAnsiTheme="minorHAnsi" w:cstheme="minorHAnsi"/>
          <w:sz w:val="22"/>
        </w:rPr>
      </w:pPr>
      <w:hyperlink r:id="rId21" w:history="1">
        <w:r w:rsidR="00947D67" w:rsidRPr="00E15B35">
          <w:rPr>
            <w:rStyle w:val="Hyperlink"/>
            <w:rFonts w:asciiTheme="minorHAnsi" w:hAnsiTheme="minorHAnsi" w:cstheme="minorHAnsi"/>
            <w:sz w:val="22"/>
          </w:rPr>
          <w:t>https://hscrc.state.md.us/Pages/budgets.aspx</w:t>
        </w:r>
      </w:hyperlink>
    </w:p>
    <w:p w14:paraId="53B8304E" w14:textId="77777777" w:rsidR="007060DB" w:rsidRPr="0064402A" w:rsidRDefault="007060DB" w:rsidP="007060DB">
      <w:pPr>
        <w:pStyle w:val="BodyCambria10Black"/>
        <w:rPr>
          <w:rFonts w:asciiTheme="minorHAnsi" w:hAnsiTheme="minorHAnsi" w:cstheme="minorHAnsi"/>
          <w:sz w:val="22"/>
        </w:rPr>
      </w:pPr>
      <w:r w:rsidRPr="0064402A">
        <w:rPr>
          <w:rFonts w:asciiTheme="minorHAnsi" w:hAnsiTheme="minorHAnsi" w:cstheme="minorHAnsi"/>
          <w:sz w:val="22"/>
        </w:rPr>
        <w:t>New Hampshire DSRIP Waiver</w:t>
      </w:r>
    </w:p>
    <w:p w14:paraId="5C221419" w14:textId="03040B30" w:rsidR="005D6E5A" w:rsidRPr="0064402A" w:rsidRDefault="00DD138A" w:rsidP="007768AB">
      <w:pPr>
        <w:pStyle w:val="BodyCambria10Black"/>
        <w:numPr>
          <w:ilvl w:val="0"/>
          <w:numId w:val="24"/>
        </w:numPr>
        <w:rPr>
          <w:rFonts w:asciiTheme="minorHAnsi" w:hAnsiTheme="minorHAnsi" w:cstheme="minorHAnsi"/>
          <w:sz w:val="22"/>
        </w:rPr>
      </w:pPr>
      <w:r>
        <w:rPr>
          <w:rFonts w:asciiTheme="minorHAnsi" w:hAnsiTheme="minorHAnsi" w:cstheme="minorHAnsi"/>
          <w:sz w:val="22"/>
        </w:rPr>
        <w:t>Seven</w:t>
      </w:r>
      <w:r w:rsidR="007768AB" w:rsidRPr="0064402A">
        <w:rPr>
          <w:rFonts w:asciiTheme="minorHAnsi" w:hAnsiTheme="minorHAnsi" w:cstheme="minorHAnsi"/>
          <w:sz w:val="22"/>
        </w:rPr>
        <w:t xml:space="preserve"> Integrated Delivery Networks (IDNs) that are responsible for building regional provider networks. </w:t>
      </w:r>
    </w:p>
    <w:p w14:paraId="2269F546" w14:textId="007E9524" w:rsidR="005D6E5A" w:rsidRPr="0064402A" w:rsidRDefault="007768AB" w:rsidP="007768AB">
      <w:pPr>
        <w:pStyle w:val="BodyCambria10Black"/>
        <w:numPr>
          <w:ilvl w:val="0"/>
          <w:numId w:val="24"/>
        </w:numPr>
        <w:rPr>
          <w:rFonts w:asciiTheme="minorHAnsi" w:hAnsiTheme="minorHAnsi" w:cstheme="minorHAnsi"/>
          <w:sz w:val="22"/>
        </w:rPr>
      </w:pPr>
      <w:r w:rsidRPr="0064402A">
        <w:rPr>
          <w:rFonts w:asciiTheme="minorHAnsi" w:hAnsiTheme="minorHAnsi" w:cstheme="minorHAnsi"/>
          <w:sz w:val="22"/>
        </w:rPr>
        <w:t>Moving from process metrics (i.e. h</w:t>
      </w:r>
      <w:r w:rsidR="00931748">
        <w:rPr>
          <w:rFonts w:asciiTheme="minorHAnsi" w:hAnsiTheme="minorHAnsi" w:cstheme="minorHAnsi"/>
          <w:sz w:val="22"/>
        </w:rPr>
        <w:t>ow many patients served) to 100 percent</w:t>
      </w:r>
      <w:r w:rsidRPr="0064402A">
        <w:rPr>
          <w:rFonts w:asciiTheme="minorHAnsi" w:hAnsiTheme="minorHAnsi" w:cstheme="minorHAnsi"/>
          <w:sz w:val="22"/>
        </w:rPr>
        <w:t xml:space="preserve"> performance metrics (i.e. outcomes) by 2019.</w:t>
      </w:r>
    </w:p>
    <w:p w14:paraId="55F35160" w14:textId="1FBA9004" w:rsidR="005D6E5A" w:rsidRPr="0064402A" w:rsidRDefault="00931748" w:rsidP="007768AB">
      <w:pPr>
        <w:pStyle w:val="BodyCambria10Black"/>
        <w:numPr>
          <w:ilvl w:val="0"/>
          <w:numId w:val="24"/>
        </w:numPr>
        <w:rPr>
          <w:rFonts w:asciiTheme="minorHAnsi" w:hAnsiTheme="minorHAnsi" w:cstheme="minorHAnsi"/>
          <w:sz w:val="22"/>
        </w:rPr>
      </w:pPr>
      <w:r>
        <w:rPr>
          <w:rFonts w:asciiTheme="minorHAnsi" w:hAnsiTheme="minorHAnsi" w:cstheme="minorHAnsi"/>
          <w:sz w:val="22"/>
        </w:rPr>
        <w:lastRenderedPageBreak/>
        <w:t>Up to 65 percent</w:t>
      </w:r>
      <w:r w:rsidR="007768AB" w:rsidRPr="0064402A">
        <w:rPr>
          <w:rFonts w:asciiTheme="minorHAnsi" w:hAnsiTheme="minorHAnsi" w:cstheme="minorHAnsi"/>
          <w:sz w:val="22"/>
        </w:rPr>
        <w:t xml:space="preserve"> of Year 1 funding will be available for capacity building and planning. </w:t>
      </w:r>
    </w:p>
    <w:p w14:paraId="7285ACA2" w14:textId="77777777" w:rsidR="005D6E5A" w:rsidRDefault="007768AB" w:rsidP="007768AB">
      <w:pPr>
        <w:pStyle w:val="BodyCambria10Black"/>
        <w:numPr>
          <w:ilvl w:val="0"/>
          <w:numId w:val="24"/>
        </w:numPr>
        <w:rPr>
          <w:rFonts w:asciiTheme="minorHAnsi" w:hAnsiTheme="minorHAnsi" w:cstheme="minorHAnsi"/>
          <w:sz w:val="22"/>
        </w:rPr>
      </w:pPr>
      <w:r w:rsidRPr="0064402A">
        <w:rPr>
          <w:rFonts w:asciiTheme="minorHAnsi" w:hAnsiTheme="minorHAnsi" w:cstheme="minorHAnsi"/>
          <w:sz w:val="22"/>
        </w:rPr>
        <w:t xml:space="preserve">In Years 2-5, IDNs must earn payments by meeting metrics defined by DHHS and approved by CMS to secure full funding. </w:t>
      </w:r>
    </w:p>
    <w:p w14:paraId="09052FE7" w14:textId="11554336" w:rsidR="00611321" w:rsidRDefault="007255FF" w:rsidP="00611321">
      <w:pPr>
        <w:pStyle w:val="BodyCambria10Black"/>
        <w:rPr>
          <w:rFonts w:asciiTheme="minorHAnsi" w:hAnsiTheme="minorHAnsi" w:cstheme="minorHAnsi"/>
          <w:sz w:val="22"/>
        </w:rPr>
      </w:pPr>
      <w:hyperlink r:id="rId22" w:history="1">
        <w:r w:rsidR="00611321" w:rsidRPr="00E15B35">
          <w:rPr>
            <w:rStyle w:val="Hyperlink"/>
            <w:rFonts w:asciiTheme="minorHAnsi" w:hAnsiTheme="minorHAnsi" w:cstheme="minorHAnsi"/>
            <w:sz w:val="22"/>
          </w:rPr>
          <w:t>https://www.dhhs.nh.gov/section-1115-waiver/index.htm</w:t>
        </w:r>
      </w:hyperlink>
    </w:p>
    <w:p w14:paraId="226338BD" w14:textId="02584A2F" w:rsidR="00635142" w:rsidRPr="000544D8" w:rsidRDefault="00BE6EDD" w:rsidP="006E1559">
      <w:pPr>
        <w:pStyle w:val="BodyCambria10Black"/>
        <w:rPr>
          <w:rFonts w:asciiTheme="minorHAnsi" w:hAnsiTheme="minorHAnsi" w:cstheme="minorHAnsi"/>
          <w:b/>
          <w:sz w:val="22"/>
          <w:szCs w:val="22"/>
          <w:u w:val="single"/>
        </w:rPr>
      </w:pPr>
      <w:r w:rsidRPr="000544D8">
        <w:rPr>
          <w:rFonts w:asciiTheme="minorHAnsi" w:hAnsiTheme="minorHAnsi" w:cstheme="minorHAnsi"/>
          <w:b/>
          <w:sz w:val="22"/>
          <w:szCs w:val="22"/>
          <w:u w:val="single"/>
        </w:rPr>
        <w:t>Next Steps for a Medicaid Program Considering VPB in a Managed Care Environment</w:t>
      </w:r>
      <w:r w:rsidR="00635142" w:rsidRPr="000544D8">
        <w:rPr>
          <w:rFonts w:asciiTheme="minorHAnsi" w:hAnsiTheme="minorHAnsi" w:cstheme="minorHAnsi"/>
          <w:b/>
          <w:sz w:val="22"/>
          <w:szCs w:val="22"/>
          <w:u w:val="single"/>
        </w:rPr>
        <w:t xml:space="preserve"> </w:t>
      </w:r>
    </w:p>
    <w:p w14:paraId="6A5078BB" w14:textId="77777777" w:rsidR="00C56576" w:rsidRPr="000544D8" w:rsidRDefault="00C56576" w:rsidP="00BE6EDD">
      <w:pPr>
        <w:pStyle w:val="MSLCArialBlackHeader12Green"/>
        <w:rPr>
          <w:rFonts w:asciiTheme="minorHAnsi" w:hAnsiTheme="minorHAnsi" w:cstheme="minorHAnsi"/>
          <w:sz w:val="22"/>
          <w:szCs w:val="22"/>
        </w:rPr>
      </w:pPr>
    </w:p>
    <w:p w14:paraId="3746E954" w14:textId="6FF35838" w:rsidR="00415B6D" w:rsidRPr="000544D8" w:rsidRDefault="00415B6D" w:rsidP="00415B6D">
      <w:pPr>
        <w:pStyle w:val="BodyCambria10Black"/>
        <w:rPr>
          <w:rFonts w:asciiTheme="minorHAnsi" w:hAnsiTheme="minorHAnsi" w:cstheme="minorHAnsi"/>
          <w:b/>
          <w:i/>
          <w:sz w:val="22"/>
          <w:szCs w:val="22"/>
        </w:rPr>
      </w:pPr>
      <w:r w:rsidRPr="000544D8">
        <w:rPr>
          <w:rFonts w:asciiTheme="minorHAnsi" w:hAnsiTheme="minorHAnsi" w:cstheme="minorHAnsi"/>
          <w:b/>
          <w:i/>
          <w:sz w:val="22"/>
          <w:szCs w:val="22"/>
        </w:rPr>
        <w:t>Perspectives:  Health Information Technology</w:t>
      </w:r>
    </w:p>
    <w:p w14:paraId="0F07CAED" w14:textId="3CED9B67" w:rsidR="003C1BCD" w:rsidRPr="000544D8" w:rsidRDefault="003C1BCD" w:rsidP="00415B6D">
      <w:pPr>
        <w:pStyle w:val="BodyCambria10Black"/>
        <w:rPr>
          <w:rFonts w:asciiTheme="minorHAnsi" w:hAnsiTheme="minorHAnsi" w:cstheme="minorHAnsi"/>
          <w:sz w:val="22"/>
          <w:szCs w:val="22"/>
        </w:rPr>
      </w:pPr>
      <w:r w:rsidRPr="000544D8">
        <w:rPr>
          <w:rFonts w:asciiTheme="minorHAnsi" w:hAnsiTheme="minorHAnsi" w:cstheme="minorHAnsi"/>
          <w:sz w:val="22"/>
          <w:szCs w:val="22"/>
        </w:rPr>
        <w:t>If you are considering a VBP program, it is important to evaluate your ability to effectively manage, monitor, and evaluate the initiative.  Health IT systems that access and aggregate data from multiple sources, some of which may be outside of the typical domain, is a prerequisite for any program.</w:t>
      </w:r>
    </w:p>
    <w:p w14:paraId="5C1EEE36" w14:textId="61C40FDC" w:rsidR="00C56576" w:rsidRPr="000544D8" w:rsidRDefault="00C56576" w:rsidP="007768AB">
      <w:pPr>
        <w:pStyle w:val="ListParagraph"/>
        <w:numPr>
          <w:ilvl w:val="0"/>
          <w:numId w:val="9"/>
        </w:numPr>
        <w:rPr>
          <w:rFonts w:cstheme="minorHAnsi"/>
        </w:rPr>
      </w:pPr>
      <w:r w:rsidRPr="000544D8">
        <w:rPr>
          <w:rFonts w:cstheme="minorHAnsi"/>
        </w:rPr>
        <w:t>Start wi</w:t>
      </w:r>
      <w:r w:rsidR="007A23B7" w:rsidRPr="000544D8">
        <w:rPr>
          <w:rFonts w:cstheme="minorHAnsi"/>
        </w:rPr>
        <w:t>th an updated and visionary State Medicaid Health Information Technology Plan (SMHP)</w:t>
      </w:r>
      <w:r w:rsidRPr="000544D8">
        <w:rPr>
          <w:rFonts w:cstheme="minorHAnsi"/>
        </w:rPr>
        <w:t>.</w:t>
      </w:r>
    </w:p>
    <w:p w14:paraId="29A57C4A" w14:textId="41322538" w:rsidR="00C56576" w:rsidRPr="000544D8" w:rsidRDefault="00C56576" w:rsidP="007768AB">
      <w:pPr>
        <w:pStyle w:val="ListParagraph"/>
        <w:numPr>
          <w:ilvl w:val="2"/>
          <w:numId w:val="9"/>
        </w:numPr>
        <w:ind w:left="1440"/>
        <w:rPr>
          <w:rFonts w:cstheme="minorHAnsi"/>
        </w:rPr>
      </w:pPr>
      <w:r w:rsidRPr="000544D8">
        <w:rPr>
          <w:rFonts w:cstheme="minorHAnsi"/>
        </w:rPr>
        <w:t>Understand the HIE landscape and vision to ensure alignment.</w:t>
      </w:r>
    </w:p>
    <w:p w14:paraId="4C9DE139" w14:textId="77777777" w:rsidR="00C56576" w:rsidRPr="000544D8" w:rsidRDefault="00C56576" w:rsidP="007768AB">
      <w:pPr>
        <w:pStyle w:val="ListParagraph"/>
        <w:numPr>
          <w:ilvl w:val="2"/>
          <w:numId w:val="9"/>
        </w:numPr>
        <w:ind w:left="1440"/>
        <w:rPr>
          <w:rFonts w:cstheme="minorHAnsi"/>
        </w:rPr>
      </w:pPr>
      <w:r w:rsidRPr="000544D8">
        <w:rPr>
          <w:rFonts w:cstheme="minorHAnsi"/>
        </w:rPr>
        <w:t xml:space="preserve">Align required improvements in population health with the state’s current health priorities and the state’s Quality Strategy Plan. </w:t>
      </w:r>
    </w:p>
    <w:p w14:paraId="5FD62657" w14:textId="4BE3B8B0" w:rsidR="00C56576" w:rsidRPr="000544D8" w:rsidRDefault="00065648" w:rsidP="007768AB">
      <w:pPr>
        <w:pStyle w:val="ListParagraph"/>
        <w:numPr>
          <w:ilvl w:val="2"/>
          <w:numId w:val="9"/>
        </w:numPr>
        <w:ind w:left="1440"/>
        <w:rPr>
          <w:rFonts w:cstheme="minorHAnsi"/>
        </w:rPr>
      </w:pPr>
      <w:r>
        <w:rPr>
          <w:rFonts w:cstheme="minorHAnsi"/>
        </w:rPr>
        <w:t>Determine w</w:t>
      </w:r>
      <w:r w:rsidR="00C56576" w:rsidRPr="000544D8">
        <w:rPr>
          <w:rFonts w:cstheme="minorHAnsi"/>
        </w:rPr>
        <w:t xml:space="preserve">hat is reasonable </w:t>
      </w:r>
      <w:r>
        <w:rPr>
          <w:rFonts w:cstheme="minorHAnsi"/>
        </w:rPr>
        <w:t xml:space="preserve">regarding </w:t>
      </w:r>
      <w:r w:rsidR="00C56576" w:rsidRPr="000544D8">
        <w:rPr>
          <w:rFonts w:cstheme="minorHAnsi"/>
        </w:rPr>
        <w:t>improvements give</w:t>
      </w:r>
      <w:r>
        <w:rPr>
          <w:rFonts w:cstheme="minorHAnsi"/>
        </w:rPr>
        <w:t>n</w:t>
      </w:r>
      <w:r w:rsidR="00C56576" w:rsidRPr="000544D8">
        <w:rPr>
          <w:rFonts w:cstheme="minorHAnsi"/>
        </w:rPr>
        <w:t xml:space="preserve"> the current HIE </w:t>
      </w:r>
      <w:r>
        <w:rPr>
          <w:rFonts w:cstheme="minorHAnsi"/>
        </w:rPr>
        <w:t>environment.</w:t>
      </w:r>
      <w:r w:rsidR="00C56576" w:rsidRPr="000544D8">
        <w:rPr>
          <w:rFonts w:cstheme="minorHAnsi"/>
        </w:rPr>
        <w:t xml:space="preserve"> </w:t>
      </w:r>
      <w:r>
        <w:rPr>
          <w:rFonts w:cstheme="minorHAnsi"/>
        </w:rPr>
        <w:t xml:space="preserve">Determine the </w:t>
      </w:r>
      <w:r w:rsidR="00C56576" w:rsidRPr="000544D8">
        <w:rPr>
          <w:rFonts w:cstheme="minorHAnsi"/>
        </w:rPr>
        <w:t xml:space="preserve">anticipated </w:t>
      </w:r>
      <w:r>
        <w:rPr>
          <w:rFonts w:cstheme="minorHAnsi"/>
        </w:rPr>
        <w:t xml:space="preserve">changes </w:t>
      </w:r>
      <w:r w:rsidR="00C56576" w:rsidRPr="000544D8">
        <w:rPr>
          <w:rFonts w:cstheme="minorHAnsi"/>
        </w:rPr>
        <w:t>during the contracting period</w:t>
      </w:r>
      <w:r>
        <w:rPr>
          <w:rFonts w:cstheme="minorHAnsi"/>
        </w:rPr>
        <w:t>.</w:t>
      </w:r>
      <w:r w:rsidR="00C56576" w:rsidRPr="000544D8">
        <w:rPr>
          <w:rFonts w:cstheme="minorHAnsi"/>
        </w:rPr>
        <w:t xml:space="preserve"> </w:t>
      </w:r>
    </w:p>
    <w:p w14:paraId="2727AD60" w14:textId="77777777" w:rsidR="009A0735" w:rsidRPr="000544D8" w:rsidRDefault="009A0735" w:rsidP="009A0735">
      <w:pPr>
        <w:pStyle w:val="ListParagraph"/>
        <w:ind w:left="1440"/>
        <w:rPr>
          <w:rFonts w:cstheme="minorHAnsi"/>
        </w:rPr>
      </w:pPr>
    </w:p>
    <w:p w14:paraId="3589C141" w14:textId="5EF1CC22" w:rsidR="00C56576" w:rsidRPr="000544D8" w:rsidRDefault="00C56576" w:rsidP="007768AB">
      <w:pPr>
        <w:pStyle w:val="ListParagraph"/>
        <w:numPr>
          <w:ilvl w:val="0"/>
          <w:numId w:val="9"/>
        </w:numPr>
        <w:rPr>
          <w:rFonts w:cstheme="minorHAnsi"/>
        </w:rPr>
      </w:pPr>
      <w:r w:rsidRPr="000544D8">
        <w:rPr>
          <w:rFonts w:cstheme="minorHAnsi"/>
        </w:rPr>
        <w:t xml:space="preserve">Require </w:t>
      </w:r>
      <w:r w:rsidR="008C05D6">
        <w:rPr>
          <w:rFonts w:cstheme="minorHAnsi"/>
        </w:rPr>
        <w:t xml:space="preserve">the </w:t>
      </w:r>
      <w:r w:rsidR="00FB2E84" w:rsidRPr="000544D8">
        <w:rPr>
          <w:rFonts w:cstheme="minorHAnsi"/>
        </w:rPr>
        <w:t>MCE</w:t>
      </w:r>
      <w:r w:rsidRPr="000544D8">
        <w:rPr>
          <w:rFonts w:cstheme="minorHAnsi"/>
        </w:rPr>
        <w:t xml:space="preserve"> to encourage/require network provider participation.  </w:t>
      </w:r>
      <w:r w:rsidR="008C05D6">
        <w:rPr>
          <w:rFonts w:cstheme="minorHAnsi"/>
        </w:rPr>
        <w:t>Require a w</w:t>
      </w:r>
      <w:r w:rsidRPr="000544D8">
        <w:rPr>
          <w:rFonts w:cstheme="minorHAnsi"/>
        </w:rPr>
        <w:t xml:space="preserve">ritten plan </w:t>
      </w:r>
      <w:r w:rsidR="008C05D6">
        <w:rPr>
          <w:rFonts w:cstheme="minorHAnsi"/>
        </w:rPr>
        <w:t xml:space="preserve">that is </w:t>
      </w:r>
      <w:r w:rsidRPr="000544D8">
        <w:rPr>
          <w:rFonts w:cstheme="minorHAnsi"/>
        </w:rPr>
        <w:t xml:space="preserve">subject to </w:t>
      </w:r>
      <w:r w:rsidR="008C05D6">
        <w:rPr>
          <w:rFonts w:cstheme="minorHAnsi"/>
        </w:rPr>
        <w:t xml:space="preserve">the </w:t>
      </w:r>
      <w:r w:rsidRPr="000544D8">
        <w:rPr>
          <w:rFonts w:cstheme="minorHAnsi"/>
        </w:rPr>
        <w:t xml:space="preserve">state’s approval. </w:t>
      </w:r>
      <w:r w:rsidR="008C05D6">
        <w:rPr>
          <w:rFonts w:cstheme="minorHAnsi"/>
        </w:rPr>
        <w:t>The plan m</w:t>
      </w:r>
      <w:r w:rsidRPr="000544D8">
        <w:rPr>
          <w:rFonts w:cstheme="minorHAnsi"/>
        </w:rPr>
        <w:t xml:space="preserve">ay include incentives or penalties. </w:t>
      </w:r>
    </w:p>
    <w:p w14:paraId="38330528" w14:textId="77777777" w:rsidR="009A0735" w:rsidRPr="000544D8" w:rsidRDefault="009A0735" w:rsidP="009A0735">
      <w:pPr>
        <w:pStyle w:val="ListParagraph"/>
        <w:rPr>
          <w:rFonts w:cstheme="minorHAnsi"/>
        </w:rPr>
      </w:pPr>
    </w:p>
    <w:p w14:paraId="00C7B8CD" w14:textId="7EFF9629" w:rsidR="00C56576" w:rsidRPr="000544D8" w:rsidRDefault="00C56576" w:rsidP="007768AB">
      <w:pPr>
        <w:pStyle w:val="ListParagraph"/>
        <w:numPr>
          <w:ilvl w:val="0"/>
          <w:numId w:val="9"/>
        </w:numPr>
        <w:rPr>
          <w:rFonts w:cstheme="minorHAnsi"/>
        </w:rPr>
      </w:pPr>
      <w:r w:rsidRPr="000544D8">
        <w:rPr>
          <w:rFonts w:cstheme="minorHAnsi"/>
        </w:rPr>
        <w:t xml:space="preserve">Require </w:t>
      </w:r>
      <w:r w:rsidR="00FB2E84" w:rsidRPr="000544D8">
        <w:rPr>
          <w:rFonts w:cstheme="minorHAnsi"/>
        </w:rPr>
        <w:t>MCE</w:t>
      </w:r>
      <w:r w:rsidRPr="000544D8">
        <w:rPr>
          <w:rFonts w:cstheme="minorHAnsi"/>
        </w:rPr>
        <w:t xml:space="preserve">s to contract with the HIE to share health data. Include data from subcontractors who are providing access to covered services. </w:t>
      </w:r>
    </w:p>
    <w:p w14:paraId="40B84AB9" w14:textId="77777777" w:rsidR="009A0735" w:rsidRPr="000544D8" w:rsidRDefault="009A0735" w:rsidP="009A0735">
      <w:pPr>
        <w:pStyle w:val="ListParagraph"/>
        <w:rPr>
          <w:rFonts w:cstheme="minorHAnsi"/>
        </w:rPr>
      </w:pPr>
    </w:p>
    <w:p w14:paraId="09095051" w14:textId="3D17F687" w:rsidR="00C56576" w:rsidRPr="000544D8" w:rsidRDefault="00C56576" w:rsidP="007768AB">
      <w:pPr>
        <w:pStyle w:val="ListParagraph"/>
        <w:numPr>
          <w:ilvl w:val="0"/>
          <w:numId w:val="9"/>
        </w:numPr>
        <w:rPr>
          <w:rFonts w:cstheme="minorHAnsi"/>
        </w:rPr>
      </w:pPr>
      <w:r w:rsidRPr="000544D8">
        <w:rPr>
          <w:rFonts w:cstheme="minorHAnsi"/>
        </w:rPr>
        <w:t xml:space="preserve">Require </w:t>
      </w:r>
      <w:r w:rsidR="00FB2E84" w:rsidRPr="000544D8">
        <w:rPr>
          <w:rFonts w:cstheme="minorHAnsi"/>
        </w:rPr>
        <w:t>MCE</w:t>
      </w:r>
      <w:r w:rsidRPr="000544D8">
        <w:rPr>
          <w:rFonts w:cstheme="minorHAnsi"/>
        </w:rPr>
        <w:t>s to receive and</w:t>
      </w:r>
      <w:r w:rsidR="00A358B8" w:rsidRPr="000544D8">
        <w:rPr>
          <w:rFonts w:cstheme="minorHAnsi"/>
        </w:rPr>
        <w:t xml:space="preserve"> act upon event notification (e</w:t>
      </w:r>
      <w:r w:rsidRPr="000544D8">
        <w:rPr>
          <w:rFonts w:cstheme="minorHAnsi"/>
        </w:rPr>
        <w:t>.</w:t>
      </w:r>
      <w:r w:rsidR="00A358B8" w:rsidRPr="000544D8">
        <w:rPr>
          <w:rFonts w:cstheme="minorHAnsi"/>
        </w:rPr>
        <w:t>g.</w:t>
      </w:r>
      <w:r w:rsidRPr="000544D8">
        <w:rPr>
          <w:rFonts w:cstheme="minorHAnsi"/>
        </w:rPr>
        <w:t xml:space="preserve"> </w:t>
      </w:r>
      <w:r w:rsidR="00A358B8" w:rsidRPr="000544D8">
        <w:rPr>
          <w:rFonts w:cstheme="minorHAnsi"/>
        </w:rPr>
        <w:t>Admit, Discharge and Transfers [ADTs]</w:t>
      </w:r>
      <w:r w:rsidR="00BF7912">
        <w:rPr>
          <w:rFonts w:cstheme="minorHAnsi"/>
        </w:rPr>
        <w:t>)</w:t>
      </w:r>
      <w:r w:rsidR="00A358B8" w:rsidRPr="000544D8">
        <w:rPr>
          <w:rFonts w:cstheme="minorHAnsi"/>
        </w:rPr>
        <w:t xml:space="preserve"> in a specific way or </w:t>
      </w:r>
      <w:r w:rsidRPr="000544D8">
        <w:rPr>
          <w:rFonts w:cstheme="minorHAnsi"/>
        </w:rPr>
        <w:t>timeframe.  Examples may include number of da</w:t>
      </w:r>
      <w:r w:rsidR="00BF7912">
        <w:rPr>
          <w:rFonts w:cstheme="minorHAnsi"/>
        </w:rPr>
        <w:t>ys to initiate a u</w:t>
      </w:r>
      <w:r w:rsidRPr="000544D8">
        <w:rPr>
          <w:rFonts w:cstheme="minorHAnsi"/>
        </w:rPr>
        <w:t xml:space="preserve">tilization </w:t>
      </w:r>
      <w:r w:rsidR="00BF7912">
        <w:rPr>
          <w:rFonts w:cstheme="minorHAnsi"/>
        </w:rPr>
        <w:t>m</w:t>
      </w:r>
      <w:r w:rsidRPr="000544D8">
        <w:rPr>
          <w:rFonts w:cstheme="minorHAnsi"/>
        </w:rPr>
        <w:t>anagement (UM) case.</w:t>
      </w:r>
    </w:p>
    <w:p w14:paraId="0393C0B5" w14:textId="77777777" w:rsidR="009A0735" w:rsidRPr="000544D8" w:rsidRDefault="009A0735" w:rsidP="009A0735">
      <w:pPr>
        <w:pStyle w:val="ListParagraph"/>
        <w:rPr>
          <w:rFonts w:cstheme="minorHAnsi"/>
        </w:rPr>
      </w:pPr>
    </w:p>
    <w:p w14:paraId="455ADD9D" w14:textId="37F9FAC3" w:rsidR="00C56576" w:rsidRPr="000544D8" w:rsidRDefault="00C56576" w:rsidP="007768AB">
      <w:pPr>
        <w:pStyle w:val="ListParagraph"/>
        <w:numPr>
          <w:ilvl w:val="0"/>
          <w:numId w:val="9"/>
        </w:numPr>
        <w:rPr>
          <w:rFonts w:cstheme="minorHAnsi"/>
        </w:rPr>
      </w:pPr>
      <w:r w:rsidRPr="000544D8">
        <w:rPr>
          <w:rFonts w:cstheme="minorHAnsi"/>
        </w:rPr>
        <w:t>Sustainability and financing</w:t>
      </w:r>
      <w:r w:rsidR="004B384A">
        <w:rPr>
          <w:rFonts w:cstheme="minorHAnsi"/>
        </w:rPr>
        <w:t>.</w:t>
      </w:r>
    </w:p>
    <w:p w14:paraId="49F49921" w14:textId="3AF799E5" w:rsidR="00C56576" w:rsidRPr="000544D8" w:rsidRDefault="004B384A" w:rsidP="007768AB">
      <w:pPr>
        <w:pStyle w:val="ListParagraph"/>
        <w:numPr>
          <w:ilvl w:val="2"/>
          <w:numId w:val="9"/>
        </w:numPr>
        <w:ind w:left="1440"/>
        <w:rPr>
          <w:rFonts w:cstheme="minorHAnsi"/>
        </w:rPr>
      </w:pPr>
      <w:r>
        <w:rPr>
          <w:rFonts w:cstheme="minorHAnsi"/>
        </w:rPr>
        <w:t>Consider requiring</w:t>
      </w:r>
      <w:r w:rsidR="00C56576" w:rsidRPr="000544D8">
        <w:rPr>
          <w:rFonts w:cstheme="minorHAnsi"/>
        </w:rPr>
        <w:t xml:space="preserve"> </w:t>
      </w:r>
      <w:r w:rsidR="00FB2E84" w:rsidRPr="000544D8">
        <w:rPr>
          <w:rFonts w:cstheme="minorHAnsi"/>
        </w:rPr>
        <w:t>MCE</w:t>
      </w:r>
      <w:r w:rsidR="00C56576" w:rsidRPr="000544D8">
        <w:rPr>
          <w:rFonts w:cstheme="minorHAnsi"/>
        </w:rPr>
        <w:t xml:space="preserve"> connection fees</w:t>
      </w:r>
      <w:r>
        <w:rPr>
          <w:rFonts w:cstheme="minorHAnsi"/>
        </w:rPr>
        <w:t xml:space="preserve"> to support long term HIE sustainability</w:t>
      </w:r>
      <w:r w:rsidR="00AF6AC1">
        <w:rPr>
          <w:rFonts w:cstheme="minorHAnsi"/>
        </w:rPr>
        <w:t>.</w:t>
      </w:r>
    </w:p>
    <w:p w14:paraId="47A354EA" w14:textId="47D7BC6F" w:rsidR="00C56576" w:rsidRPr="000544D8" w:rsidRDefault="004B384A" w:rsidP="007768AB">
      <w:pPr>
        <w:pStyle w:val="ListParagraph"/>
        <w:numPr>
          <w:ilvl w:val="2"/>
          <w:numId w:val="9"/>
        </w:numPr>
        <w:ind w:left="1440"/>
        <w:rPr>
          <w:rFonts w:cstheme="minorHAnsi"/>
        </w:rPr>
      </w:pPr>
      <w:r>
        <w:rPr>
          <w:rFonts w:cstheme="minorHAnsi"/>
        </w:rPr>
        <w:t>Leverage</w:t>
      </w:r>
      <w:r w:rsidR="00C56576" w:rsidRPr="000544D8">
        <w:rPr>
          <w:rFonts w:cstheme="minorHAnsi"/>
        </w:rPr>
        <w:t xml:space="preserve"> 90/10 funding for provider onboarding</w:t>
      </w:r>
      <w:r w:rsidR="00AF6AC1">
        <w:rPr>
          <w:rFonts w:cstheme="minorHAnsi"/>
        </w:rPr>
        <w:t>.</w:t>
      </w:r>
    </w:p>
    <w:p w14:paraId="00D9F6A2" w14:textId="77777777" w:rsidR="009A0735" w:rsidRPr="000544D8" w:rsidRDefault="009A0735" w:rsidP="009A0735">
      <w:pPr>
        <w:pStyle w:val="ListParagraph"/>
        <w:ind w:left="1440"/>
        <w:rPr>
          <w:rFonts w:cstheme="minorHAnsi"/>
        </w:rPr>
      </w:pPr>
    </w:p>
    <w:p w14:paraId="5FFD6B40" w14:textId="6997F1A6" w:rsidR="00C56576" w:rsidRPr="000544D8" w:rsidRDefault="00A40414" w:rsidP="007768AB">
      <w:pPr>
        <w:pStyle w:val="ListParagraph"/>
        <w:numPr>
          <w:ilvl w:val="0"/>
          <w:numId w:val="9"/>
        </w:numPr>
        <w:rPr>
          <w:rFonts w:cstheme="minorHAnsi"/>
        </w:rPr>
      </w:pPr>
      <w:r>
        <w:rPr>
          <w:rFonts w:cstheme="minorHAnsi"/>
        </w:rPr>
        <w:t>Leverage the</w:t>
      </w:r>
      <w:r w:rsidR="00C56576" w:rsidRPr="000544D8">
        <w:rPr>
          <w:rFonts w:cstheme="minorHAnsi"/>
        </w:rPr>
        <w:t xml:space="preserve"> HIE to create patient empowerment tools that are adaptive </w:t>
      </w:r>
      <w:r w:rsidR="00A358B8" w:rsidRPr="000544D8">
        <w:rPr>
          <w:rFonts w:cstheme="minorHAnsi"/>
        </w:rPr>
        <w:t xml:space="preserve">to the current and future needs and/or </w:t>
      </w:r>
      <w:r w:rsidR="00C56576" w:rsidRPr="000544D8">
        <w:rPr>
          <w:rFonts w:cstheme="minorHAnsi"/>
        </w:rPr>
        <w:t xml:space="preserve">conditions of the </w:t>
      </w:r>
      <w:r w:rsidR="00FB2E84" w:rsidRPr="000544D8">
        <w:rPr>
          <w:rFonts w:cstheme="minorHAnsi"/>
        </w:rPr>
        <w:t>MCE</w:t>
      </w:r>
      <w:r w:rsidR="00C56576" w:rsidRPr="000544D8">
        <w:rPr>
          <w:rFonts w:cstheme="minorHAnsi"/>
        </w:rPr>
        <w:t xml:space="preserve"> enrollee. </w:t>
      </w:r>
    </w:p>
    <w:p w14:paraId="44D7613E" w14:textId="77777777" w:rsidR="009A0735" w:rsidRPr="000544D8" w:rsidRDefault="009A0735" w:rsidP="009A0735">
      <w:pPr>
        <w:pStyle w:val="ListParagraph"/>
        <w:rPr>
          <w:rFonts w:cstheme="minorHAnsi"/>
        </w:rPr>
      </w:pPr>
    </w:p>
    <w:p w14:paraId="4429D70C" w14:textId="1D9A6D09" w:rsidR="004477DA" w:rsidRPr="000544D8" w:rsidRDefault="00A40414" w:rsidP="007768AB">
      <w:pPr>
        <w:pStyle w:val="ListParagraph"/>
        <w:numPr>
          <w:ilvl w:val="0"/>
          <w:numId w:val="9"/>
        </w:numPr>
        <w:rPr>
          <w:rFonts w:cstheme="minorHAnsi"/>
        </w:rPr>
      </w:pPr>
      <w:r>
        <w:rPr>
          <w:rFonts w:cstheme="minorHAnsi"/>
        </w:rPr>
        <w:lastRenderedPageBreak/>
        <w:t>Leverage</w:t>
      </w:r>
      <w:r w:rsidR="00C56576" w:rsidRPr="000544D8">
        <w:rPr>
          <w:rFonts w:cstheme="minorHAnsi"/>
        </w:rPr>
        <w:t xml:space="preserve"> the HIE to validate population health outcomes and conduct program integrity activities without the need for chart abstraction. </w:t>
      </w:r>
    </w:p>
    <w:p w14:paraId="2C862F48" w14:textId="77777777" w:rsidR="009A0735" w:rsidRPr="000544D8" w:rsidRDefault="009A0735" w:rsidP="009A0735">
      <w:pPr>
        <w:pStyle w:val="ListParagraph"/>
        <w:rPr>
          <w:rFonts w:cstheme="minorHAnsi"/>
        </w:rPr>
      </w:pPr>
    </w:p>
    <w:p w14:paraId="2C347AFF" w14:textId="0B6C14D5" w:rsidR="00C56576" w:rsidRPr="000544D8" w:rsidRDefault="00A40414" w:rsidP="007768AB">
      <w:pPr>
        <w:pStyle w:val="ListParagraph"/>
        <w:numPr>
          <w:ilvl w:val="0"/>
          <w:numId w:val="9"/>
        </w:numPr>
        <w:rPr>
          <w:rFonts w:cstheme="minorHAnsi"/>
        </w:rPr>
      </w:pPr>
      <w:r>
        <w:rPr>
          <w:rFonts w:cstheme="minorHAnsi"/>
          <w:color w:val="353838"/>
        </w:rPr>
        <w:t>Advance MITA 3.0 for c</w:t>
      </w:r>
      <w:r w:rsidR="00C56576" w:rsidRPr="000544D8">
        <w:rPr>
          <w:rFonts w:cstheme="minorHAnsi"/>
          <w:color w:val="353838"/>
        </w:rPr>
        <w:t xml:space="preserve">are </w:t>
      </w:r>
      <w:r>
        <w:rPr>
          <w:rFonts w:cstheme="minorHAnsi"/>
          <w:color w:val="353838"/>
        </w:rPr>
        <w:t>m</w:t>
      </w:r>
      <w:r w:rsidR="00C56576" w:rsidRPr="000544D8">
        <w:rPr>
          <w:rFonts w:cstheme="minorHAnsi"/>
          <w:color w:val="353838"/>
        </w:rPr>
        <w:t>anagement by establishing interoperable connections to replace highly manual paper-driven processes with standardized and automated business rules to improve access to case and population health management.</w:t>
      </w:r>
    </w:p>
    <w:p w14:paraId="4B644CB2" w14:textId="77777777" w:rsidR="005B596E" w:rsidRPr="000544D8" w:rsidRDefault="005B596E" w:rsidP="005B596E">
      <w:pPr>
        <w:pStyle w:val="ListParagraph"/>
        <w:rPr>
          <w:rFonts w:cstheme="minorHAnsi"/>
        </w:rPr>
      </w:pPr>
    </w:p>
    <w:p w14:paraId="37532864" w14:textId="6CD811CF" w:rsidR="004477DA" w:rsidRPr="000544D8" w:rsidRDefault="004477DA" w:rsidP="004477DA">
      <w:pPr>
        <w:pStyle w:val="BodyCambria10Black"/>
        <w:rPr>
          <w:rFonts w:asciiTheme="minorHAnsi" w:hAnsiTheme="minorHAnsi" w:cstheme="minorHAnsi"/>
          <w:b/>
          <w:i/>
          <w:sz w:val="22"/>
          <w:szCs w:val="22"/>
        </w:rPr>
      </w:pPr>
      <w:r w:rsidRPr="000544D8">
        <w:rPr>
          <w:rFonts w:asciiTheme="minorHAnsi" w:hAnsiTheme="minorHAnsi" w:cstheme="minorHAnsi"/>
          <w:b/>
          <w:i/>
          <w:sz w:val="22"/>
          <w:szCs w:val="22"/>
        </w:rPr>
        <w:t>Perspectives:  Planning and Implementation Practices</w:t>
      </w:r>
    </w:p>
    <w:p w14:paraId="53846CF9" w14:textId="1B0E4F60" w:rsidR="00CD7C12" w:rsidRPr="000544D8" w:rsidRDefault="00635142" w:rsidP="00635142">
      <w:pPr>
        <w:pStyle w:val="BodyCambria10Black"/>
        <w:rPr>
          <w:rFonts w:asciiTheme="minorHAnsi" w:hAnsiTheme="minorHAnsi" w:cstheme="minorHAnsi"/>
          <w:sz w:val="22"/>
          <w:szCs w:val="22"/>
        </w:rPr>
      </w:pPr>
      <w:r w:rsidRPr="000544D8">
        <w:rPr>
          <w:rFonts w:asciiTheme="minorHAnsi" w:hAnsiTheme="minorHAnsi" w:cstheme="minorHAnsi"/>
          <w:sz w:val="22"/>
          <w:szCs w:val="22"/>
        </w:rPr>
        <w:t xml:space="preserve">If </w:t>
      </w:r>
      <w:r w:rsidR="003C1BCD" w:rsidRPr="000544D8">
        <w:rPr>
          <w:rFonts w:asciiTheme="minorHAnsi" w:hAnsiTheme="minorHAnsi" w:cstheme="minorHAnsi"/>
          <w:sz w:val="22"/>
          <w:szCs w:val="22"/>
        </w:rPr>
        <w:t>a program</w:t>
      </w:r>
      <w:r w:rsidRPr="000544D8">
        <w:rPr>
          <w:rFonts w:asciiTheme="minorHAnsi" w:hAnsiTheme="minorHAnsi" w:cstheme="minorHAnsi"/>
          <w:sz w:val="22"/>
          <w:szCs w:val="22"/>
        </w:rPr>
        <w:t xml:space="preserve"> consider</w:t>
      </w:r>
      <w:r w:rsidR="00CD7C12" w:rsidRPr="000544D8">
        <w:rPr>
          <w:rFonts w:asciiTheme="minorHAnsi" w:hAnsiTheme="minorHAnsi" w:cstheme="minorHAnsi"/>
          <w:sz w:val="22"/>
          <w:szCs w:val="22"/>
        </w:rPr>
        <w:t>s</w:t>
      </w:r>
      <w:r w:rsidRPr="000544D8">
        <w:rPr>
          <w:rFonts w:asciiTheme="minorHAnsi" w:hAnsiTheme="minorHAnsi" w:cstheme="minorHAnsi"/>
          <w:sz w:val="22"/>
          <w:szCs w:val="22"/>
        </w:rPr>
        <w:t xml:space="preserve"> moving forward to implement a VBP</w:t>
      </w:r>
      <w:r w:rsidR="00273968" w:rsidRPr="000544D8">
        <w:rPr>
          <w:rFonts w:asciiTheme="minorHAnsi" w:hAnsiTheme="minorHAnsi" w:cstheme="minorHAnsi"/>
          <w:sz w:val="22"/>
          <w:szCs w:val="22"/>
        </w:rPr>
        <w:t xml:space="preserve"> </w:t>
      </w:r>
      <w:r w:rsidR="007B428C" w:rsidRPr="000544D8">
        <w:rPr>
          <w:rFonts w:asciiTheme="minorHAnsi" w:hAnsiTheme="minorHAnsi" w:cstheme="minorHAnsi"/>
          <w:sz w:val="22"/>
          <w:szCs w:val="22"/>
        </w:rPr>
        <w:t>model</w:t>
      </w:r>
      <w:r w:rsidRPr="000544D8">
        <w:rPr>
          <w:rFonts w:asciiTheme="minorHAnsi" w:hAnsiTheme="minorHAnsi" w:cstheme="minorHAnsi"/>
          <w:sz w:val="22"/>
          <w:szCs w:val="22"/>
        </w:rPr>
        <w:t>, the</w:t>
      </w:r>
      <w:r w:rsidR="00CD7C12" w:rsidRPr="000544D8">
        <w:rPr>
          <w:rFonts w:asciiTheme="minorHAnsi" w:hAnsiTheme="minorHAnsi" w:cstheme="minorHAnsi"/>
          <w:sz w:val="22"/>
          <w:szCs w:val="22"/>
        </w:rPr>
        <w:t xml:space="preserve">re are key planning and implementation </w:t>
      </w:r>
      <w:r w:rsidR="006A5D89" w:rsidRPr="000544D8">
        <w:rPr>
          <w:rFonts w:asciiTheme="minorHAnsi" w:hAnsiTheme="minorHAnsi" w:cstheme="minorHAnsi"/>
          <w:sz w:val="22"/>
          <w:szCs w:val="22"/>
        </w:rPr>
        <w:t>practices</w:t>
      </w:r>
      <w:r w:rsidR="00CD7C12" w:rsidRPr="000544D8">
        <w:rPr>
          <w:rFonts w:asciiTheme="minorHAnsi" w:hAnsiTheme="minorHAnsi" w:cstheme="minorHAnsi"/>
          <w:sz w:val="22"/>
          <w:szCs w:val="22"/>
        </w:rPr>
        <w:t xml:space="preserve"> </w:t>
      </w:r>
      <w:r w:rsidR="006A5D89" w:rsidRPr="000544D8">
        <w:rPr>
          <w:rFonts w:asciiTheme="minorHAnsi" w:hAnsiTheme="minorHAnsi" w:cstheme="minorHAnsi"/>
          <w:sz w:val="22"/>
          <w:szCs w:val="22"/>
        </w:rPr>
        <w:t>that will support the process:</w:t>
      </w:r>
    </w:p>
    <w:p w14:paraId="1A555CC8" w14:textId="7B9012DE" w:rsidR="00C11E47" w:rsidRPr="000544D8" w:rsidRDefault="00C11E47" w:rsidP="007768AB">
      <w:pPr>
        <w:pStyle w:val="BodyCambria10Black"/>
        <w:numPr>
          <w:ilvl w:val="0"/>
          <w:numId w:val="7"/>
        </w:numPr>
        <w:rPr>
          <w:rFonts w:asciiTheme="minorHAnsi" w:hAnsiTheme="minorHAnsi" w:cstheme="minorHAnsi"/>
          <w:sz w:val="22"/>
          <w:szCs w:val="22"/>
        </w:rPr>
      </w:pPr>
      <w:r w:rsidRPr="000544D8">
        <w:rPr>
          <w:rFonts w:asciiTheme="minorHAnsi" w:hAnsiTheme="minorHAnsi" w:cstheme="minorHAnsi"/>
          <w:sz w:val="22"/>
          <w:szCs w:val="22"/>
        </w:rPr>
        <w:t xml:space="preserve">Conduct an “as is” assessment of the </w:t>
      </w:r>
      <w:r w:rsidR="00953F72" w:rsidRPr="000544D8">
        <w:rPr>
          <w:rFonts w:asciiTheme="minorHAnsi" w:hAnsiTheme="minorHAnsi" w:cstheme="minorHAnsi"/>
          <w:sz w:val="22"/>
          <w:szCs w:val="22"/>
        </w:rPr>
        <w:t>MCE</w:t>
      </w:r>
      <w:r w:rsidRPr="000544D8">
        <w:rPr>
          <w:rFonts w:asciiTheme="minorHAnsi" w:hAnsiTheme="minorHAnsi" w:cstheme="minorHAnsi"/>
          <w:sz w:val="22"/>
          <w:szCs w:val="22"/>
        </w:rPr>
        <w:t xml:space="preserve"> performance results</w:t>
      </w:r>
      <w:r w:rsidR="00C44617" w:rsidRPr="000544D8">
        <w:rPr>
          <w:rFonts w:asciiTheme="minorHAnsi" w:hAnsiTheme="minorHAnsi" w:cstheme="minorHAnsi"/>
          <w:sz w:val="22"/>
          <w:szCs w:val="22"/>
        </w:rPr>
        <w:t>, including quality measures,</w:t>
      </w:r>
      <w:r w:rsidRPr="000544D8">
        <w:rPr>
          <w:rFonts w:asciiTheme="minorHAnsi" w:hAnsiTheme="minorHAnsi" w:cstheme="minorHAnsi"/>
          <w:sz w:val="22"/>
          <w:szCs w:val="22"/>
        </w:rPr>
        <w:t xml:space="preserve"> to identify opportunities for improvement.</w:t>
      </w:r>
    </w:p>
    <w:p w14:paraId="57D533B4" w14:textId="1EBFA07D" w:rsidR="006A5D89" w:rsidRPr="000544D8" w:rsidRDefault="006A5D89" w:rsidP="007768AB">
      <w:pPr>
        <w:pStyle w:val="BodyCambria10Black"/>
        <w:numPr>
          <w:ilvl w:val="0"/>
          <w:numId w:val="7"/>
        </w:numPr>
        <w:rPr>
          <w:rFonts w:asciiTheme="minorHAnsi" w:hAnsiTheme="minorHAnsi" w:cstheme="minorHAnsi"/>
          <w:sz w:val="22"/>
          <w:szCs w:val="22"/>
        </w:rPr>
      </w:pPr>
      <w:r w:rsidRPr="000544D8">
        <w:rPr>
          <w:rFonts w:asciiTheme="minorHAnsi" w:hAnsiTheme="minorHAnsi" w:cstheme="minorHAnsi"/>
          <w:sz w:val="22"/>
          <w:szCs w:val="22"/>
        </w:rPr>
        <w:t xml:space="preserve">Develop and convene an internal workgroup comprised of </w:t>
      </w:r>
      <w:r w:rsidR="00C521A0" w:rsidRPr="000544D8">
        <w:rPr>
          <w:rFonts w:asciiTheme="minorHAnsi" w:hAnsiTheme="minorHAnsi" w:cstheme="minorHAnsi"/>
          <w:sz w:val="22"/>
          <w:szCs w:val="22"/>
        </w:rPr>
        <w:t xml:space="preserve">the </w:t>
      </w:r>
      <w:r w:rsidR="00297492">
        <w:rPr>
          <w:rFonts w:asciiTheme="minorHAnsi" w:hAnsiTheme="minorHAnsi" w:cstheme="minorHAnsi"/>
          <w:sz w:val="22"/>
          <w:szCs w:val="22"/>
        </w:rPr>
        <w:t>m</w:t>
      </w:r>
      <w:r w:rsidR="00C521A0" w:rsidRPr="000544D8">
        <w:rPr>
          <w:rFonts w:asciiTheme="minorHAnsi" w:hAnsiTheme="minorHAnsi" w:cstheme="minorHAnsi"/>
          <w:sz w:val="22"/>
          <w:szCs w:val="22"/>
        </w:rPr>
        <w:t xml:space="preserve">edical </w:t>
      </w:r>
      <w:r w:rsidR="00297492">
        <w:rPr>
          <w:rFonts w:asciiTheme="minorHAnsi" w:hAnsiTheme="minorHAnsi" w:cstheme="minorHAnsi"/>
          <w:sz w:val="22"/>
          <w:szCs w:val="22"/>
        </w:rPr>
        <w:t>d</w:t>
      </w:r>
      <w:r w:rsidR="00C521A0" w:rsidRPr="000544D8">
        <w:rPr>
          <w:rFonts w:asciiTheme="minorHAnsi" w:hAnsiTheme="minorHAnsi" w:cstheme="minorHAnsi"/>
          <w:sz w:val="22"/>
          <w:szCs w:val="22"/>
        </w:rPr>
        <w:t xml:space="preserve">irector and </w:t>
      </w:r>
      <w:r w:rsidRPr="000544D8">
        <w:rPr>
          <w:rFonts w:asciiTheme="minorHAnsi" w:hAnsiTheme="minorHAnsi" w:cstheme="minorHAnsi"/>
          <w:sz w:val="22"/>
          <w:szCs w:val="22"/>
        </w:rPr>
        <w:t>key operational areas such as policy, fi</w:t>
      </w:r>
      <w:r w:rsidR="00297492">
        <w:rPr>
          <w:rFonts w:asciiTheme="minorHAnsi" w:hAnsiTheme="minorHAnsi" w:cstheme="minorHAnsi"/>
          <w:sz w:val="22"/>
          <w:szCs w:val="22"/>
        </w:rPr>
        <w:t>nance, quality, contracts, and information t</w:t>
      </w:r>
      <w:r w:rsidRPr="000544D8">
        <w:rPr>
          <w:rFonts w:asciiTheme="minorHAnsi" w:hAnsiTheme="minorHAnsi" w:cstheme="minorHAnsi"/>
          <w:sz w:val="22"/>
          <w:szCs w:val="22"/>
        </w:rPr>
        <w:t>echnology</w:t>
      </w:r>
      <w:r w:rsidR="000C2437" w:rsidRPr="000544D8">
        <w:rPr>
          <w:rFonts w:asciiTheme="minorHAnsi" w:hAnsiTheme="minorHAnsi" w:cstheme="minorHAnsi"/>
          <w:sz w:val="22"/>
          <w:szCs w:val="22"/>
        </w:rPr>
        <w:t xml:space="preserve">, and </w:t>
      </w:r>
      <w:r w:rsidR="00297492">
        <w:rPr>
          <w:rFonts w:asciiTheme="minorHAnsi" w:hAnsiTheme="minorHAnsi" w:cstheme="minorHAnsi"/>
          <w:sz w:val="22"/>
          <w:szCs w:val="22"/>
        </w:rPr>
        <w:t>d</w:t>
      </w:r>
      <w:r w:rsidRPr="000544D8">
        <w:rPr>
          <w:rFonts w:asciiTheme="minorHAnsi" w:hAnsiTheme="minorHAnsi" w:cstheme="minorHAnsi"/>
          <w:sz w:val="22"/>
          <w:szCs w:val="22"/>
        </w:rPr>
        <w:t xml:space="preserve">ecision </w:t>
      </w:r>
      <w:r w:rsidR="00297492">
        <w:rPr>
          <w:rFonts w:asciiTheme="minorHAnsi" w:hAnsiTheme="minorHAnsi" w:cstheme="minorHAnsi"/>
          <w:sz w:val="22"/>
          <w:szCs w:val="22"/>
        </w:rPr>
        <w:t>s</w:t>
      </w:r>
      <w:r w:rsidRPr="000544D8">
        <w:rPr>
          <w:rFonts w:asciiTheme="minorHAnsi" w:hAnsiTheme="minorHAnsi" w:cstheme="minorHAnsi"/>
          <w:sz w:val="22"/>
          <w:szCs w:val="22"/>
        </w:rPr>
        <w:t xml:space="preserve">upport </w:t>
      </w:r>
      <w:r w:rsidR="00297492">
        <w:rPr>
          <w:rFonts w:asciiTheme="minorHAnsi" w:hAnsiTheme="minorHAnsi" w:cstheme="minorHAnsi"/>
          <w:sz w:val="22"/>
          <w:szCs w:val="22"/>
        </w:rPr>
        <w:t>s</w:t>
      </w:r>
      <w:r w:rsidRPr="000544D8">
        <w:rPr>
          <w:rFonts w:asciiTheme="minorHAnsi" w:hAnsiTheme="minorHAnsi" w:cstheme="minorHAnsi"/>
          <w:sz w:val="22"/>
          <w:szCs w:val="22"/>
        </w:rPr>
        <w:t>ervices.</w:t>
      </w:r>
    </w:p>
    <w:p w14:paraId="292D726F" w14:textId="029B5820" w:rsidR="00473E9A" w:rsidRPr="000544D8" w:rsidRDefault="00473E9A" w:rsidP="007768AB">
      <w:pPr>
        <w:pStyle w:val="BodyCambria10Black"/>
        <w:numPr>
          <w:ilvl w:val="0"/>
          <w:numId w:val="7"/>
        </w:numPr>
        <w:rPr>
          <w:rFonts w:asciiTheme="minorHAnsi" w:hAnsiTheme="minorHAnsi" w:cstheme="minorHAnsi"/>
          <w:sz w:val="22"/>
          <w:szCs w:val="22"/>
        </w:rPr>
      </w:pPr>
      <w:r w:rsidRPr="000544D8">
        <w:rPr>
          <w:rFonts w:asciiTheme="minorHAnsi" w:hAnsiTheme="minorHAnsi" w:cstheme="minorHAnsi"/>
          <w:sz w:val="22"/>
          <w:szCs w:val="22"/>
        </w:rPr>
        <w:t xml:space="preserve">Engage CMS </w:t>
      </w:r>
      <w:r w:rsidR="00C521A0" w:rsidRPr="000544D8">
        <w:rPr>
          <w:rFonts w:asciiTheme="minorHAnsi" w:hAnsiTheme="minorHAnsi" w:cstheme="minorHAnsi"/>
          <w:sz w:val="22"/>
          <w:szCs w:val="22"/>
        </w:rPr>
        <w:t xml:space="preserve">for early discussions and vetting of </w:t>
      </w:r>
      <w:r w:rsidRPr="000544D8">
        <w:rPr>
          <w:rFonts w:asciiTheme="minorHAnsi" w:hAnsiTheme="minorHAnsi" w:cstheme="minorHAnsi"/>
          <w:sz w:val="22"/>
          <w:szCs w:val="22"/>
        </w:rPr>
        <w:t xml:space="preserve">potential VBP model design and financial impact. </w:t>
      </w:r>
    </w:p>
    <w:p w14:paraId="4F8BD155" w14:textId="1E376955" w:rsidR="006A5D89" w:rsidRPr="000544D8" w:rsidRDefault="006A5D89" w:rsidP="007768AB">
      <w:pPr>
        <w:pStyle w:val="BodyCambria10Black"/>
        <w:numPr>
          <w:ilvl w:val="0"/>
          <w:numId w:val="7"/>
        </w:numPr>
        <w:rPr>
          <w:rFonts w:asciiTheme="minorHAnsi" w:hAnsiTheme="minorHAnsi" w:cstheme="minorHAnsi"/>
          <w:sz w:val="22"/>
          <w:szCs w:val="22"/>
        </w:rPr>
      </w:pPr>
      <w:r w:rsidRPr="000544D8">
        <w:rPr>
          <w:rFonts w:asciiTheme="minorHAnsi" w:hAnsiTheme="minorHAnsi" w:cstheme="minorHAnsi"/>
          <w:sz w:val="22"/>
          <w:szCs w:val="22"/>
        </w:rPr>
        <w:t xml:space="preserve">Conduct research and develop key program design considerations for discussion </w:t>
      </w:r>
      <w:r w:rsidR="00C521A0" w:rsidRPr="000544D8">
        <w:rPr>
          <w:rFonts w:asciiTheme="minorHAnsi" w:hAnsiTheme="minorHAnsi" w:cstheme="minorHAnsi"/>
          <w:sz w:val="22"/>
          <w:szCs w:val="22"/>
        </w:rPr>
        <w:t xml:space="preserve">with </w:t>
      </w:r>
      <w:r w:rsidRPr="000544D8">
        <w:rPr>
          <w:rFonts w:asciiTheme="minorHAnsi" w:hAnsiTheme="minorHAnsi" w:cstheme="minorHAnsi"/>
          <w:sz w:val="22"/>
          <w:szCs w:val="22"/>
        </w:rPr>
        <w:t xml:space="preserve">the </w:t>
      </w:r>
      <w:r w:rsidR="00C521A0" w:rsidRPr="000544D8">
        <w:rPr>
          <w:rFonts w:asciiTheme="minorHAnsi" w:hAnsiTheme="minorHAnsi" w:cstheme="minorHAnsi"/>
          <w:sz w:val="22"/>
          <w:szCs w:val="22"/>
        </w:rPr>
        <w:t xml:space="preserve">internal </w:t>
      </w:r>
      <w:r w:rsidRPr="000544D8">
        <w:rPr>
          <w:rFonts w:asciiTheme="minorHAnsi" w:hAnsiTheme="minorHAnsi" w:cstheme="minorHAnsi"/>
          <w:sz w:val="22"/>
          <w:szCs w:val="22"/>
        </w:rPr>
        <w:t>workgroup and leadership levels.</w:t>
      </w:r>
    </w:p>
    <w:p w14:paraId="41EA8EE2" w14:textId="77777777" w:rsidR="006A5D89" w:rsidRPr="000544D8" w:rsidRDefault="006A5D89" w:rsidP="007768AB">
      <w:pPr>
        <w:pStyle w:val="BodyCambria10Black"/>
        <w:numPr>
          <w:ilvl w:val="0"/>
          <w:numId w:val="7"/>
        </w:numPr>
        <w:rPr>
          <w:rFonts w:asciiTheme="minorHAnsi" w:hAnsiTheme="minorHAnsi" w:cstheme="minorHAnsi"/>
          <w:sz w:val="22"/>
          <w:szCs w:val="22"/>
        </w:rPr>
      </w:pPr>
      <w:r w:rsidRPr="000544D8">
        <w:rPr>
          <w:rFonts w:asciiTheme="minorHAnsi" w:hAnsiTheme="minorHAnsi" w:cstheme="minorHAnsi"/>
          <w:sz w:val="22"/>
          <w:szCs w:val="22"/>
        </w:rPr>
        <w:t>Complete detailed analysis of VBP models implemented by other states to identify best practices and lesson learned.</w:t>
      </w:r>
    </w:p>
    <w:p w14:paraId="5E78483F" w14:textId="77777777" w:rsidR="00473E9A" w:rsidRPr="000544D8" w:rsidRDefault="00473E9A" w:rsidP="007768AB">
      <w:pPr>
        <w:pStyle w:val="BodyCambria10Black"/>
        <w:numPr>
          <w:ilvl w:val="0"/>
          <w:numId w:val="7"/>
        </w:numPr>
        <w:rPr>
          <w:rFonts w:asciiTheme="minorHAnsi" w:hAnsiTheme="minorHAnsi" w:cstheme="minorHAnsi"/>
          <w:sz w:val="22"/>
          <w:szCs w:val="22"/>
        </w:rPr>
      </w:pPr>
      <w:r w:rsidRPr="000544D8">
        <w:rPr>
          <w:rFonts w:asciiTheme="minorHAnsi" w:hAnsiTheme="minorHAnsi" w:cstheme="minorHAnsi"/>
          <w:sz w:val="22"/>
          <w:szCs w:val="22"/>
        </w:rPr>
        <w:t>Evaluate the commercial payer and Medicare payment for existing VBP models.</w:t>
      </w:r>
    </w:p>
    <w:p w14:paraId="4778720D" w14:textId="155FD0D6" w:rsidR="00473E9A" w:rsidRPr="000544D8" w:rsidRDefault="00473E9A" w:rsidP="007768AB">
      <w:pPr>
        <w:pStyle w:val="BodyCambria10Black"/>
        <w:numPr>
          <w:ilvl w:val="0"/>
          <w:numId w:val="7"/>
        </w:numPr>
        <w:rPr>
          <w:rFonts w:asciiTheme="minorHAnsi" w:hAnsiTheme="minorHAnsi" w:cstheme="minorHAnsi"/>
          <w:sz w:val="22"/>
          <w:szCs w:val="22"/>
        </w:rPr>
      </w:pPr>
      <w:r w:rsidRPr="000544D8">
        <w:rPr>
          <w:rFonts w:asciiTheme="minorHAnsi" w:hAnsiTheme="minorHAnsi" w:cstheme="minorHAnsi"/>
          <w:sz w:val="22"/>
          <w:szCs w:val="22"/>
        </w:rPr>
        <w:t xml:space="preserve">Survey </w:t>
      </w:r>
      <w:r w:rsidR="0016667D">
        <w:rPr>
          <w:rFonts w:asciiTheme="minorHAnsi" w:hAnsiTheme="minorHAnsi" w:cstheme="minorHAnsi"/>
          <w:sz w:val="22"/>
          <w:szCs w:val="22"/>
        </w:rPr>
        <w:t>Medicaid m</w:t>
      </w:r>
      <w:r w:rsidR="00C54EB7" w:rsidRPr="000544D8">
        <w:rPr>
          <w:rFonts w:asciiTheme="minorHAnsi" w:hAnsiTheme="minorHAnsi" w:cstheme="minorHAnsi"/>
          <w:sz w:val="22"/>
          <w:szCs w:val="22"/>
        </w:rPr>
        <w:t xml:space="preserve">anaged </w:t>
      </w:r>
      <w:r w:rsidR="0016667D">
        <w:rPr>
          <w:rFonts w:asciiTheme="minorHAnsi" w:hAnsiTheme="minorHAnsi" w:cstheme="minorHAnsi"/>
          <w:sz w:val="22"/>
          <w:szCs w:val="22"/>
        </w:rPr>
        <w:t>c</w:t>
      </w:r>
      <w:r w:rsidR="00C54EB7" w:rsidRPr="000544D8">
        <w:rPr>
          <w:rFonts w:asciiTheme="minorHAnsi" w:hAnsiTheme="minorHAnsi" w:cstheme="minorHAnsi"/>
          <w:sz w:val="22"/>
          <w:szCs w:val="22"/>
        </w:rPr>
        <w:t>are</w:t>
      </w:r>
      <w:r w:rsidRPr="000544D8">
        <w:rPr>
          <w:rFonts w:asciiTheme="minorHAnsi" w:hAnsiTheme="minorHAnsi" w:cstheme="minorHAnsi"/>
          <w:sz w:val="22"/>
          <w:szCs w:val="22"/>
        </w:rPr>
        <w:t xml:space="preserve"> providers on their current managed care and Medicare contracts and associated VBP models. </w:t>
      </w:r>
    </w:p>
    <w:p w14:paraId="72BC3C67" w14:textId="77777777" w:rsidR="006A5D89" w:rsidRPr="000544D8" w:rsidRDefault="006A5D89" w:rsidP="007768AB">
      <w:pPr>
        <w:pStyle w:val="BodyCambria10Black"/>
        <w:numPr>
          <w:ilvl w:val="0"/>
          <w:numId w:val="7"/>
        </w:numPr>
        <w:rPr>
          <w:rFonts w:asciiTheme="minorHAnsi" w:hAnsiTheme="minorHAnsi" w:cstheme="minorHAnsi"/>
          <w:sz w:val="22"/>
          <w:szCs w:val="22"/>
        </w:rPr>
      </w:pPr>
      <w:r w:rsidRPr="000544D8">
        <w:rPr>
          <w:rFonts w:asciiTheme="minorHAnsi" w:hAnsiTheme="minorHAnsi" w:cstheme="minorHAnsi"/>
          <w:sz w:val="22"/>
          <w:szCs w:val="22"/>
        </w:rPr>
        <w:t>Conduct internal data analyses to support program design</w:t>
      </w:r>
      <w:r w:rsidR="00473E9A" w:rsidRPr="000544D8">
        <w:rPr>
          <w:rFonts w:asciiTheme="minorHAnsi" w:hAnsiTheme="minorHAnsi" w:cstheme="minorHAnsi"/>
          <w:sz w:val="22"/>
          <w:szCs w:val="22"/>
        </w:rPr>
        <w:t xml:space="preserve"> and cost savings projections</w:t>
      </w:r>
      <w:r w:rsidRPr="000544D8">
        <w:rPr>
          <w:rFonts w:asciiTheme="minorHAnsi" w:hAnsiTheme="minorHAnsi" w:cstheme="minorHAnsi"/>
          <w:sz w:val="22"/>
          <w:szCs w:val="22"/>
        </w:rPr>
        <w:t>.</w:t>
      </w:r>
    </w:p>
    <w:p w14:paraId="3A6639E6" w14:textId="0C32752D" w:rsidR="006A5D89" w:rsidRPr="000544D8" w:rsidRDefault="006A5D89" w:rsidP="007768AB">
      <w:pPr>
        <w:pStyle w:val="BodyCambria10Black"/>
        <w:numPr>
          <w:ilvl w:val="0"/>
          <w:numId w:val="7"/>
        </w:numPr>
        <w:rPr>
          <w:rFonts w:asciiTheme="minorHAnsi" w:hAnsiTheme="minorHAnsi" w:cstheme="minorHAnsi"/>
          <w:sz w:val="22"/>
          <w:szCs w:val="22"/>
        </w:rPr>
      </w:pPr>
      <w:r w:rsidRPr="000544D8">
        <w:rPr>
          <w:rFonts w:asciiTheme="minorHAnsi" w:hAnsiTheme="minorHAnsi" w:cstheme="minorHAnsi"/>
          <w:sz w:val="22"/>
          <w:szCs w:val="22"/>
        </w:rPr>
        <w:t xml:space="preserve">Develop options analyses to identify potential models specific to </w:t>
      </w:r>
      <w:r w:rsidR="000C2437" w:rsidRPr="000544D8">
        <w:rPr>
          <w:rFonts w:asciiTheme="minorHAnsi" w:hAnsiTheme="minorHAnsi" w:cstheme="minorHAnsi"/>
          <w:sz w:val="22"/>
          <w:szCs w:val="22"/>
        </w:rPr>
        <w:t>the program</w:t>
      </w:r>
      <w:r w:rsidRPr="000544D8">
        <w:rPr>
          <w:rFonts w:asciiTheme="minorHAnsi" w:hAnsiTheme="minorHAnsi" w:cstheme="minorHAnsi"/>
          <w:sz w:val="22"/>
          <w:szCs w:val="22"/>
        </w:rPr>
        <w:t>, including target</w:t>
      </w:r>
      <w:r w:rsidR="003042AF" w:rsidRPr="000544D8">
        <w:rPr>
          <w:rFonts w:asciiTheme="minorHAnsi" w:hAnsiTheme="minorHAnsi" w:cstheme="minorHAnsi"/>
          <w:sz w:val="22"/>
          <w:szCs w:val="22"/>
        </w:rPr>
        <w:t>ed</w:t>
      </w:r>
      <w:r w:rsidRPr="000544D8">
        <w:rPr>
          <w:rFonts w:asciiTheme="minorHAnsi" w:hAnsiTheme="minorHAnsi" w:cstheme="minorHAnsi"/>
          <w:sz w:val="22"/>
          <w:szCs w:val="22"/>
        </w:rPr>
        <w:t xml:space="preserve"> members and health outcomes.</w:t>
      </w:r>
    </w:p>
    <w:p w14:paraId="7EC7F768" w14:textId="625E7FC1" w:rsidR="00C11E47" w:rsidRPr="000544D8" w:rsidRDefault="00C11E47" w:rsidP="007768AB">
      <w:pPr>
        <w:pStyle w:val="BodyCambria10Black"/>
        <w:numPr>
          <w:ilvl w:val="0"/>
          <w:numId w:val="7"/>
        </w:numPr>
        <w:rPr>
          <w:rFonts w:asciiTheme="minorHAnsi" w:hAnsiTheme="minorHAnsi" w:cstheme="minorHAnsi"/>
          <w:sz w:val="22"/>
          <w:szCs w:val="22"/>
        </w:rPr>
      </w:pPr>
      <w:r w:rsidRPr="000544D8">
        <w:rPr>
          <w:rFonts w:asciiTheme="minorHAnsi" w:hAnsiTheme="minorHAnsi" w:cstheme="minorHAnsi"/>
          <w:sz w:val="22"/>
          <w:szCs w:val="22"/>
        </w:rPr>
        <w:t xml:space="preserve">Review the </w:t>
      </w:r>
      <w:r w:rsidR="000C2437" w:rsidRPr="000544D8">
        <w:rPr>
          <w:rFonts w:asciiTheme="minorHAnsi" w:hAnsiTheme="minorHAnsi" w:cstheme="minorHAnsi"/>
          <w:sz w:val="22"/>
          <w:szCs w:val="22"/>
        </w:rPr>
        <w:t>MCE</w:t>
      </w:r>
      <w:r w:rsidRPr="000544D8">
        <w:rPr>
          <w:rFonts w:asciiTheme="minorHAnsi" w:hAnsiTheme="minorHAnsi" w:cstheme="minorHAnsi"/>
          <w:sz w:val="22"/>
          <w:szCs w:val="22"/>
        </w:rPr>
        <w:t xml:space="preserve"> contract and identify opportunities to add language for new VBP model(s), </w:t>
      </w:r>
      <w:r w:rsidR="006A5D89" w:rsidRPr="000544D8">
        <w:rPr>
          <w:rFonts w:asciiTheme="minorHAnsi" w:hAnsiTheme="minorHAnsi" w:cstheme="minorHAnsi"/>
          <w:sz w:val="22"/>
          <w:szCs w:val="22"/>
        </w:rPr>
        <w:t xml:space="preserve">including provider network contracting requirements (e.g., </w:t>
      </w:r>
      <w:r w:rsidR="000C2437" w:rsidRPr="000544D8">
        <w:rPr>
          <w:rFonts w:asciiTheme="minorHAnsi" w:hAnsiTheme="minorHAnsi" w:cstheme="minorHAnsi"/>
          <w:sz w:val="22"/>
          <w:szCs w:val="22"/>
        </w:rPr>
        <w:t>Electronic Health Records [EHR]</w:t>
      </w:r>
      <w:r w:rsidR="006A5D89" w:rsidRPr="000544D8">
        <w:rPr>
          <w:rFonts w:asciiTheme="minorHAnsi" w:hAnsiTheme="minorHAnsi" w:cstheme="minorHAnsi"/>
          <w:sz w:val="22"/>
          <w:szCs w:val="22"/>
        </w:rPr>
        <w:t xml:space="preserve"> </w:t>
      </w:r>
      <w:r w:rsidRPr="000544D8">
        <w:rPr>
          <w:rFonts w:asciiTheme="minorHAnsi" w:hAnsiTheme="minorHAnsi" w:cstheme="minorHAnsi"/>
          <w:sz w:val="22"/>
          <w:szCs w:val="22"/>
        </w:rPr>
        <w:t xml:space="preserve">reporting requirements, </w:t>
      </w:r>
      <w:r w:rsidR="006A5D89" w:rsidRPr="000544D8">
        <w:rPr>
          <w:rFonts w:asciiTheme="minorHAnsi" w:hAnsiTheme="minorHAnsi" w:cstheme="minorHAnsi"/>
          <w:sz w:val="22"/>
          <w:szCs w:val="22"/>
        </w:rPr>
        <w:t>etc.).</w:t>
      </w:r>
      <w:r w:rsidRPr="000544D8">
        <w:rPr>
          <w:rFonts w:asciiTheme="minorHAnsi" w:hAnsiTheme="minorHAnsi" w:cstheme="minorHAnsi"/>
          <w:sz w:val="22"/>
          <w:szCs w:val="22"/>
        </w:rPr>
        <w:t xml:space="preserve"> </w:t>
      </w:r>
    </w:p>
    <w:p w14:paraId="586B3C3A" w14:textId="2F31A29F" w:rsidR="006A5D89" w:rsidRPr="000544D8" w:rsidRDefault="00D55863" w:rsidP="007768AB">
      <w:pPr>
        <w:pStyle w:val="BodyCambria10Black"/>
        <w:numPr>
          <w:ilvl w:val="0"/>
          <w:numId w:val="7"/>
        </w:numPr>
        <w:rPr>
          <w:rFonts w:asciiTheme="minorHAnsi" w:hAnsiTheme="minorHAnsi" w:cstheme="minorHAnsi"/>
          <w:sz w:val="22"/>
          <w:szCs w:val="22"/>
        </w:rPr>
      </w:pPr>
      <w:r>
        <w:rPr>
          <w:rFonts w:asciiTheme="minorHAnsi" w:hAnsiTheme="minorHAnsi" w:cstheme="minorHAnsi"/>
          <w:sz w:val="22"/>
          <w:szCs w:val="22"/>
        </w:rPr>
        <w:lastRenderedPageBreak/>
        <w:t>Conduct stakeholder engagement</w:t>
      </w:r>
      <w:r w:rsidR="006A5D89" w:rsidRPr="000544D8">
        <w:rPr>
          <w:rFonts w:asciiTheme="minorHAnsi" w:hAnsiTheme="minorHAnsi" w:cstheme="minorHAnsi"/>
          <w:sz w:val="22"/>
          <w:szCs w:val="22"/>
        </w:rPr>
        <w:t xml:space="preserve"> </w:t>
      </w:r>
      <w:r w:rsidR="000C2437" w:rsidRPr="000544D8">
        <w:rPr>
          <w:rFonts w:asciiTheme="minorHAnsi" w:hAnsiTheme="minorHAnsi" w:cstheme="minorHAnsi"/>
          <w:sz w:val="22"/>
          <w:szCs w:val="22"/>
        </w:rPr>
        <w:t xml:space="preserve">meetings and </w:t>
      </w:r>
      <w:r w:rsidR="00473E9A" w:rsidRPr="000544D8">
        <w:rPr>
          <w:rFonts w:asciiTheme="minorHAnsi" w:hAnsiTheme="minorHAnsi" w:cstheme="minorHAnsi"/>
          <w:sz w:val="22"/>
          <w:szCs w:val="22"/>
        </w:rPr>
        <w:t xml:space="preserve">surveys </w:t>
      </w:r>
      <w:r w:rsidR="006A5D89" w:rsidRPr="000544D8">
        <w:rPr>
          <w:rFonts w:asciiTheme="minorHAnsi" w:hAnsiTheme="minorHAnsi" w:cstheme="minorHAnsi"/>
          <w:sz w:val="22"/>
          <w:szCs w:val="22"/>
        </w:rPr>
        <w:t>with provide</w:t>
      </w:r>
      <w:r w:rsidR="000C2437" w:rsidRPr="000544D8">
        <w:rPr>
          <w:rFonts w:asciiTheme="minorHAnsi" w:hAnsiTheme="minorHAnsi" w:cstheme="minorHAnsi"/>
          <w:sz w:val="22"/>
          <w:szCs w:val="22"/>
        </w:rPr>
        <w:t>rs, provider associations, MCE</w:t>
      </w:r>
      <w:r w:rsidR="006A5D89" w:rsidRPr="000544D8">
        <w:rPr>
          <w:rFonts w:asciiTheme="minorHAnsi" w:hAnsiTheme="minorHAnsi" w:cstheme="minorHAnsi"/>
          <w:sz w:val="22"/>
          <w:szCs w:val="22"/>
        </w:rPr>
        <w:t>s, and other payers</w:t>
      </w:r>
      <w:r w:rsidR="00473E9A" w:rsidRPr="000544D8">
        <w:rPr>
          <w:rFonts w:asciiTheme="minorHAnsi" w:hAnsiTheme="minorHAnsi" w:cstheme="minorHAnsi"/>
          <w:sz w:val="22"/>
          <w:szCs w:val="22"/>
        </w:rPr>
        <w:t xml:space="preserve"> on proposed VBP models, rationale, projections, and long term goals</w:t>
      </w:r>
      <w:r w:rsidR="006A5D89" w:rsidRPr="000544D8">
        <w:rPr>
          <w:rFonts w:asciiTheme="minorHAnsi" w:hAnsiTheme="minorHAnsi" w:cstheme="minorHAnsi"/>
          <w:sz w:val="22"/>
          <w:szCs w:val="22"/>
        </w:rPr>
        <w:t>.</w:t>
      </w:r>
    </w:p>
    <w:p w14:paraId="24F26932" w14:textId="77777777" w:rsidR="006A5D89" w:rsidRPr="000544D8" w:rsidRDefault="006A5D89" w:rsidP="007768AB">
      <w:pPr>
        <w:pStyle w:val="BodyCambria10Black"/>
        <w:numPr>
          <w:ilvl w:val="0"/>
          <w:numId w:val="7"/>
        </w:numPr>
        <w:rPr>
          <w:rFonts w:asciiTheme="minorHAnsi" w:hAnsiTheme="minorHAnsi" w:cstheme="minorHAnsi"/>
          <w:sz w:val="22"/>
          <w:szCs w:val="22"/>
        </w:rPr>
      </w:pPr>
      <w:r w:rsidRPr="000544D8">
        <w:rPr>
          <w:rFonts w:asciiTheme="minorHAnsi" w:hAnsiTheme="minorHAnsi" w:cstheme="minorHAnsi"/>
          <w:sz w:val="22"/>
          <w:szCs w:val="22"/>
        </w:rPr>
        <w:t xml:space="preserve">Modify VBP options based on stakeholder input, as needed. </w:t>
      </w:r>
    </w:p>
    <w:p w14:paraId="02BA5AC4" w14:textId="4748A598" w:rsidR="006A5D89" w:rsidRPr="00C00C70" w:rsidRDefault="00C00C70" w:rsidP="007768AB">
      <w:pPr>
        <w:pStyle w:val="BodyCambria10Black"/>
        <w:numPr>
          <w:ilvl w:val="0"/>
          <w:numId w:val="7"/>
        </w:numPr>
        <w:rPr>
          <w:rFonts w:asciiTheme="minorHAnsi" w:hAnsiTheme="minorHAnsi" w:cstheme="minorHAnsi"/>
          <w:sz w:val="22"/>
          <w:szCs w:val="22"/>
        </w:rPr>
      </w:pPr>
      <w:r w:rsidRPr="00C00C70">
        <w:rPr>
          <w:rFonts w:asciiTheme="minorHAnsi" w:hAnsiTheme="minorHAnsi" w:cstheme="minorHAnsi"/>
          <w:sz w:val="22"/>
          <w:szCs w:val="22"/>
        </w:rPr>
        <w:t xml:space="preserve">Establish a </w:t>
      </w:r>
      <w:r w:rsidR="006A5D89" w:rsidRPr="00C00C70">
        <w:rPr>
          <w:rFonts w:asciiTheme="minorHAnsi" w:hAnsiTheme="minorHAnsi" w:cstheme="minorHAnsi"/>
          <w:sz w:val="22"/>
          <w:szCs w:val="22"/>
        </w:rPr>
        <w:t xml:space="preserve">roadmap for </w:t>
      </w:r>
      <w:r w:rsidR="00473E9A" w:rsidRPr="00C00C70">
        <w:rPr>
          <w:rFonts w:asciiTheme="minorHAnsi" w:hAnsiTheme="minorHAnsi" w:cstheme="minorHAnsi"/>
          <w:sz w:val="22"/>
          <w:szCs w:val="22"/>
        </w:rPr>
        <w:t xml:space="preserve">the </w:t>
      </w:r>
      <w:r w:rsidR="006A5D89" w:rsidRPr="00C00C70">
        <w:rPr>
          <w:rFonts w:asciiTheme="minorHAnsi" w:hAnsiTheme="minorHAnsi" w:cstheme="minorHAnsi"/>
          <w:sz w:val="22"/>
          <w:szCs w:val="22"/>
        </w:rPr>
        <w:t xml:space="preserve">initial </w:t>
      </w:r>
      <w:r w:rsidR="00473E9A" w:rsidRPr="00C00C70">
        <w:rPr>
          <w:rFonts w:asciiTheme="minorHAnsi" w:hAnsiTheme="minorHAnsi" w:cstheme="minorHAnsi"/>
          <w:sz w:val="22"/>
          <w:szCs w:val="22"/>
        </w:rPr>
        <w:t>VBP model</w:t>
      </w:r>
      <w:r w:rsidR="006A5D89" w:rsidRPr="00C00C70">
        <w:rPr>
          <w:rFonts w:asciiTheme="minorHAnsi" w:hAnsiTheme="minorHAnsi" w:cstheme="minorHAnsi"/>
          <w:sz w:val="22"/>
          <w:szCs w:val="22"/>
        </w:rPr>
        <w:t xml:space="preserve"> </w:t>
      </w:r>
      <w:r w:rsidRPr="00C00C70">
        <w:rPr>
          <w:rFonts w:asciiTheme="minorHAnsi" w:hAnsiTheme="minorHAnsi" w:cstheme="minorHAnsi"/>
          <w:sz w:val="22"/>
          <w:szCs w:val="22"/>
        </w:rPr>
        <w:t xml:space="preserve">in consideration of its </w:t>
      </w:r>
      <w:r w:rsidR="006A5D89" w:rsidRPr="00C00C70">
        <w:rPr>
          <w:rFonts w:asciiTheme="minorHAnsi" w:hAnsiTheme="minorHAnsi" w:cstheme="minorHAnsi"/>
          <w:sz w:val="22"/>
          <w:szCs w:val="22"/>
        </w:rPr>
        <w:t xml:space="preserve">long term goals and </w:t>
      </w:r>
      <w:r w:rsidRPr="00C00C70">
        <w:rPr>
          <w:rFonts w:asciiTheme="minorHAnsi" w:hAnsiTheme="minorHAnsi" w:cstheme="minorHAnsi"/>
          <w:sz w:val="22"/>
          <w:szCs w:val="22"/>
        </w:rPr>
        <w:t>objectives</w:t>
      </w:r>
      <w:r w:rsidR="006A5D89" w:rsidRPr="00C00C70">
        <w:rPr>
          <w:rFonts w:asciiTheme="minorHAnsi" w:hAnsiTheme="minorHAnsi" w:cstheme="minorHAnsi"/>
          <w:sz w:val="22"/>
          <w:szCs w:val="22"/>
        </w:rPr>
        <w:t>.</w:t>
      </w:r>
    </w:p>
    <w:p w14:paraId="4238BC23" w14:textId="77777777" w:rsidR="006A5D89" w:rsidRPr="000544D8" w:rsidRDefault="006A5D89" w:rsidP="007768AB">
      <w:pPr>
        <w:pStyle w:val="BodyCambria10Black"/>
        <w:numPr>
          <w:ilvl w:val="0"/>
          <w:numId w:val="7"/>
        </w:numPr>
        <w:rPr>
          <w:rFonts w:asciiTheme="minorHAnsi" w:hAnsiTheme="minorHAnsi" w:cstheme="minorHAnsi"/>
          <w:sz w:val="22"/>
          <w:szCs w:val="22"/>
        </w:rPr>
      </w:pPr>
      <w:r w:rsidRPr="000544D8">
        <w:rPr>
          <w:rFonts w:asciiTheme="minorHAnsi" w:hAnsiTheme="minorHAnsi" w:cstheme="minorHAnsi"/>
          <w:sz w:val="22"/>
          <w:szCs w:val="22"/>
        </w:rPr>
        <w:t>Develop a detailed communication plan for internal and external stakeholders.</w:t>
      </w:r>
    </w:p>
    <w:p w14:paraId="159667A2" w14:textId="10C62DB3" w:rsidR="006A5D89" w:rsidRPr="000544D8" w:rsidRDefault="006A5D89" w:rsidP="007768AB">
      <w:pPr>
        <w:pStyle w:val="BodyCambria10Black"/>
        <w:numPr>
          <w:ilvl w:val="0"/>
          <w:numId w:val="7"/>
        </w:numPr>
        <w:rPr>
          <w:rFonts w:asciiTheme="minorHAnsi" w:hAnsiTheme="minorHAnsi" w:cstheme="minorHAnsi"/>
          <w:sz w:val="22"/>
          <w:szCs w:val="22"/>
        </w:rPr>
      </w:pPr>
      <w:r w:rsidRPr="000544D8">
        <w:rPr>
          <w:rFonts w:asciiTheme="minorHAnsi" w:hAnsiTheme="minorHAnsi" w:cstheme="minorHAnsi"/>
          <w:sz w:val="22"/>
          <w:szCs w:val="22"/>
        </w:rPr>
        <w:t>Collaborate with the state’s actuarial vendor on rate-setting and risk analysis</w:t>
      </w:r>
      <w:r w:rsidR="00C521A0" w:rsidRPr="000544D8">
        <w:rPr>
          <w:rFonts w:asciiTheme="minorHAnsi" w:hAnsiTheme="minorHAnsi" w:cstheme="minorHAnsi"/>
          <w:sz w:val="22"/>
          <w:szCs w:val="22"/>
        </w:rPr>
        <w:t xml:space="preserve"> implications.</w:t>
      </w:r>
    </w:p>
    <w:p w14:paraId="49D1C42E" w14:textId="77777777" w:rsidR="00CE619F" w:rsidRPr="000544D8" w:rsidRDefault="001545BC" w:rsidP="00DB0CA3">
      <w:pPr>
        <w:pStyle w:val="BodyCambria10Black"/>
        <w:rPr>
          <w:rFonts w:asciiTheme="minorHAnsi" w:hAnsiTheme="minorHAnsi" w:cstheme="minorHAnsi"/>
          <w:b/>
          <w:sz w:val="22"/>
          <w:szCs w:val="22"/>
          <w:u w:val="single"/>
        </w:rPr>
      </w:pPr>
      <w:r w:rsidRPr="000544D8">
        <w:rPr>
          <w:rFonts w:asciiTheme="minorHAnsi" w:hAnsiTheme="minorHAnsi" w:cstheme="minorHAnsi"/>
          <w:b/>
          <w:sz w:val="22"/>
          <w:szCs w:val="22"/>
          <w:u w:val="single"/>
        </w:rPr>
        <w:t xml:space="preserve">Key Considerations </w:t>
      </w:r>
      <w:r w:rsidR="00CD7C12" w:rsidRPr="000544D8">
        <w:rPr>
          <w:rFonts w:asciiTheme="minorHAnsi" w:hAnsiTheme="minorHAnsi" w:cstheme="minorHAnsi"/>
          <w:b/>
          <w:sz w:val="22"/>
          <w:szCs w:val="22"/>
          <w:u w:val="single"/>
        </w:rPr>
        <w:t>of VBP Models</w:t>
      </w:r>
    </w:p>
    <w:p w14:paraId="0F5FF720" w14:textId="102836C6" w:rsidR="0073284E" w:rsidRPr="000544D8" w:rsidRDefault="00833802" w:rsidP="00DB0CA3">
      <w:pPr>
        <w:pStyle w:val="BodyCambria10Black"/>
        <w:rPr>
          <w:rFonts w:asciiTheme="minorHAnsi" w:hAnsiTheme="minorHAnsi" w:cstheme="minorHAnsi"/>
          <w:sz w:val="22"/>
          <w:szCs w:val="22"/>
        </w:rPr>
      </w:pPr>
      <w:r w:rsidRPr="000544D8">
        <w:rPr>
          <w:rFonts w:asciiTheme="minorHAnsi" w:hAnsiTheme="minorHAnsi" w:cstheme="minorHAnsi"/>
          <w:sz w:val="22"/>
          <w:szCs w:val="22"/>
        </w:rPr>
        <w:t>T</w:t>
      </w:r>
      <w:r w:rsidR="0073284E" w:rsidRPr="000544D8">
        <w:rPr>
          <w:rFonts w:asciiTheme="minorHAnsi" w:hAnsiTheme="minorHAnsi" w:cstheme="minorHAnsi"/>
          <w:sz w:val="22"/>
          <w:szCs w:val="22"/>
        </w:rPr>
        <w:t xml:space="preserve">here is no one </w:t>
      </w:r>
      <w:r w:rsidRPr="000544D8">
        <w:rPr>
          <w:rFonts w:asciiTheme="minorHAnsi" w:hAnsiTheme="minorHAnsi" w:cstheme="minorHAnsi"/>
          <w:sz w:val="22"/>
          <w:szCs w:val="22"/>
        </w:rPr>
        <w:t xml:space="preserve">standard </w:t>
      </w:r>
      <w:r w:rsidR="0073284E" w:rsidRPr="000544D8">
        <w:rPr>
          <w:rFonts w:asciiTheme="minorHAnsi" w:hAnsiTheme="minorHAnsi" w:cstheme="minorHAnsi"/>
          <w:sz w:val="22"/>
          <w:szCs w:val="22"/>
        </w:rPr>
        <w:t xml:space="preserve">approach to </w:t>
      </w:r>
      <w:r w:rsidRPr="000544D8">
        <w:rPr>
          <w:rFonts w:asciiTheme="minorHAnsi" w:hAnsiTheme="minorHAnsi" w:cstheme="minorHAnsi"/>
          <w:sz w:val="22"/>
          <w:szCs w:val="22"/>
        </w:rPr>
        <w:t xml:space="preserve">Medicaid </w:t>
      </w:r>
      <w:r w:rsidR="0073284E" w:rsidRPr="000544D8">
        <w:rPr>
          <w:rFonts w:asciiTheme="minorHAnsi" w:hAnsiTheme="minorHAnsi" w:cstheme="minorHAnsi"/>
          <w:sz w:val="22"/>
          <w:szCs w:val="22"/>
        </w:rPr>
        <w:t>VBP</w:t>
      </w:r>
      <w:r w:rsidR="00BA001F" w:rsidRPr="000544D8">
        <w:rPr>
          <w:rFonts w:asciiTheme="minorHAnsi" w:hAnsiTheme="minorHAnsi" w:cstheme="minorHAnsi"/>
          <w:sz w:val="22"/>
          <w:szCs w:val="22"/>
        </w:rPr>
        <w:t xml:space="preserve"> model</w:t>
      </w:r>
      <w:r w:rsidRPr="000544D8">
        <w:rPr>
          <w:rFonts w:asciiTheme="minorHAnsi" w:hAnsiTheme="minorHAnsi" w:cstheme="minorHAnsi"/>
          <w:sz w:val="22"/>
          <w:szCs w:val="22"/>
        </w:rPr>
        <w:t>s</w:t>
      </w:r>
      <w:r w:rsidR="0073284E" w:rsidRPr="000544D8">
        <w:rPr>
          <w:rFonts w:asciiTheme="minorHAnsi" w:hAnsiTheme="minorHAnsi" w:cstheme="minorHAnsi"/>
          <w:sz w:val="22"/>
          <w:szCs w:val="22"/>
        </w:rPr>
        <w:t>, instead states must consi</w:t>
      </w:r>
      <w:r w:rsidRPr="000544D8">
        <w:rPr>
          <w:rFonts w:asciiTheme="minorHAnsi" w:hAnsiTheme="minorHAnsi" w:cstheme="minorHAnsi"/>
          <w:sz w:val="22"/>
          <w:szCs w:val="22"/>
        </w:rPr>
        <w:t>der their population</w:t>
      </w:r>
      <w:r w:rsidR="0073284E" w:rsidRPr="000544D8">
        <w:rPr>
          <w:rFonts w:asciiTheme="minorHAnsi" w:hAnsiTheme="minorHAnsi" w:cstheme="minorHAnsi"/>
          <w:sz w:val="22"/>
          <w:szCs w:val="22"/>
        </w:rPr>
        <w:t xml:space="preserve"> health status and needs, the provider landscape, the health insurance market, administrative capacity in designing and </w:t>
      </w:r>
      <w:r w:rsidR="007D355A" w:rsidRPr="000544D8">
        <w:rPr>
          <w:rFonts w:asciiTheme="minorHAnsi" w:hAnsiTheme="minorHAnsi" w:cstheme="minorHAnsi"/>
          <w:sz w:val="22"/>
          <w:szCs w:val="22"/>
        </w:rPr>
        <w:t>implement</w:t>
      </w:r>
      <w:r w:rsidR="0073284E" w:rsidRPr="000544D8">
        <w:rPr>
          <w:rFonts w:asciiTheme="minorHAnsi" w:hAnsiTheme="minorHAnsi" w:cstheme="minorHAnsi"/>
          <w:sz w:val="22"/>
          <w:szCs w:val="22"/>
        </w:rPr>
        <w:t>ing a VBP</w:t>
      </w:r>
      <w:r w:rsidR="00CD7C12" w:rsidRPr="000544D8">
        <w:rPr>
          <w:rFonts w:asciiTheme="minorHAnsi" w:hAnsiTheme="minorHAnsi" w:cstheme="minorHAnsi"/>
          <w:sz w:val="22"/>
          <w:szCs w:val="22"/>
        </w:rPr>
        <w:t>,</w:t>
      </w:r>
      <w:r w:rsidR="007D355A" w:rsidRPr="000544D8">
        <w:rPr>
          <w:rFonts w:asciiTheme="minorHAnsi" w:hAnsiTheme="minorHAnsi" w:cstheme="minorHAnsi"/>
          <w:sz w:val="22"/>
          <w:szCs w:val="22"/>
        </w:rPr>
        <w:t xml:space="preserve"> and the impact of federal regulatory requirements</w:t>
      </w:r>
      <w:r w:rsidR="0073284E" w:rsidRPr="000544D8">
        <w:rPr>
          <w:rFonts w:asciiTheme="minorHAnsi" w:hAnsiTheme="minorHAnsi" w:cstheme="minorHAnsi"/>
          <w:sz w:val="22"/>
          <w:szCs w:val="22"/>
        </w:rPr>
        <w:t xml:space="preserve">.  </w:t>
      </w:r>
      <w:r w:rsidR="002347EF" w:rsidRPr="000544D8">
        <w:rPr>
          <w:rFonts w:asciiTheme="minorHAnsi" w:hAnsiTheme="minorHAnsi" w:cstheme="minorHAnsi"/>
          <w:sz w:val="22"/>
          <w:szCs w:val="22"/>
        </w:rPr>
        <w:t xml:space="preserve">Specifically, key considerations in assessing the VBP approach that best meets the </w:t>
      </w:r>
      <w:r w:rsidR="008918BA" w:rsidRPr="000544D8">
        <w:rPr>
          <w:rFonts w:asciiTheme="minorHAnsi" w:hAnsiTheme="minorHAnsi" w:cstheme="minorHAnsi"/>
          <w:sz w:val="22"/>
          <w:szCs w:val="22"/>
        </w:rPr>
        <w:t>program’s</w:t>
      </w:r>
      <w:r w:rsidR="00273968" w:rsidRPr="000544D8">
        <w:rPr>
          <w:rFonts w:asciiTheme="minorHAnsi" w:hAnsiTheme="minorHAnsi" w:cstheme="minorHAnsi"/>
          <w:sz w:val="22"/>
          <w:szCs w:val="22"/>
        </w:rPr>
        <w:t xml:space="preserve"> needs </w:t>
      </w:r>
      <w:r w:rsidR="007E7CBC" w:rsidRPr="000544D8">
        <w:rPr>
          <w:rFonts w:asciiTheme="minorHAnsi" w:hAnsiTheme="minorHAnsi" w:cstheme="minorHAnsi"/>
          <w:sz w:val="22"/>
          <w:szCs w:val="22"/>
        </w:rPr>
        <w:t>are</w:t>
      </w:r>
      <w:r w:rsidR="002347EF" w:rsidRPr="000544D8">
        <w:rPr>
          <w:rFonts w:asciiTheme="minorHAnsi" w:hAnsiTheme="minorHAnsi" w:cstheme="minorHAnsi"/>
          <w:sz w:val="22"/>
          <w:szCs w:val="22"/>
        </w:rPr>
        <w:t>:</w:t>
      </w:r>
    </w:p>
    <w:p w14:paraId="6F983501" w14:textId="5680497F" w:rsidR="002347EF" w:rsidRPr="000544D8" w:rsidRDefault="009A5094" w:rsidP="007768AB">
      <w:pPr>
        <w:pStyle w:val="BodyCambria10Black"/>
        <w:numPr>
          <w:ilvl w:val="0"/>
          <w:numId w:val="4"/>
        </w:numPr>
        <w:rPr>
          <w:rFonts w:asciiTheme="minorHAnsi" w:hAnsiTheme="minorHAnsi" w:cstheme="minorHAnsi"/>
          <w:sz w:val="22"/>
          <w:szCs w:val="22"/>
        </w:rPr>
      </w:pPr>
      <w:r w:rsidRPr="000544D8">
        <w:rPr>
          <w:rFonts w:asciiTheme="minorHAnsi" w:hAnsiTheme="minorHAnsi" w:cstheme="minorHAnsi"/>
          <w:i/>
          <w:sz w:val="22"/>
          <w:szCs w:val="22"/>
        </w:rPr>
        <w:t>Population Health Status and Needs:</w:t>
      </w:r>
      <w:r w:rsidR="002347EF" w:rsidRPr="000544D8">
        <w:rPr>
          <w:rFonts w:asciiTheme="minorHAnsi" w:hAnsiTheme="minorHAnsi" w:cstheme="minorHAnsi"/>
          <w:sz w:val="22"/>
          <w:szCs w:val="22"/>
        </w:rPr>
        <w:t xml:space="preserve"> </w:t>
      </w:r>
      <w:r w:rsidR="008918BA" w:rsidRPr="000544D8">
        <w:rPr>
          <w:rFonts w:asciiTheme="minorHAnsi" w:hAnsiTheme="minorHAnsi" w:cstheme="minorHAnsi"/>
          <w:sz w:val="22"/>
          <w:szCs w:val="22"/>
        </w:rPr>
        <w:t>A</w:t>
      </w:r>
      <w:r w:rsidR="002347EF" w:rsidRPr="000544D8">
        <w:rPr>
          <w:rFonts w:asciiTheme="minorHAnsi" w:hAnsiTheme="minorHAnsi" w:cstheme="minorHAnsi"/>
          <w:sz w:val="22"/>
          <w:szCs w:val="22"/>
        </w:rPr>
        <w:t>nalyze data to identify member health care status, needs and costs. Based on this information, determine wh</w:t>
      </w:r>
      <w:r w:rsidR="00C521A0" w:rsidRPr="000544D8">
        <w:rPr>
          <w:rFonts w:asciiTheme="minorHAnsi" w:hAnsiTheme="minorHAnsi" w:cstheme="minorHAnsi"/>
          <w:sz w:val="22"/>
          <w:szCs w:val="22"/>
        </w:rPr>
        <w:t>ich</w:t>
      </w:r>
      <w:r w:rsidR="002347EF" w:rsidRPr="000544D8">
        <w:rPr>
          <w:rFonts w:asciiTheme="minorHAnsi" w:hAnsiTheme="minorHAnsi" w:cstheme="minorHAnsi"/>
          <w:sz w:val="22"/>
          <w:szCs w:val="22"/>
        </w:rPr>
        <w:t xml:space="preserve"> members and health outcomes should be targeted by the model. For example, some states have a high incidence of premature, low birth weight deliveries and so </w:t>
      </w:r>
      <w:r w:rsidR="00C521A0" w:rsidRPr="000544D8">
        <w:rPr>
          <w:rFonts w:asciiTheme="minorHAnsi" w:hAnsiTheme="minorHAnsi" w:cstheme="minorHAnsi"/>
          <w:sz w:val="22"/>
          <w:szCs w:val="22"/>
        </w:rPr>
        <w:t xml:space="preserve">they </w:t>
      </w:r>
      <w:r w:rsidR="002347EF" w:rsidRPr="000544D8">
        <w:rPr>
          <w:rFonts w:asciiTheme="minorHAnsi" w:hAnsiTheme="minorHAnsi" w:cstheme="minorHAnsi"/>
          <w:sz w:val="22"/>
          <w:szCs w:val="22"/>
        </w:rPr>
        <w:t>target pregnant women with the goal of reducing premature, low birth weight deliveries and the associated hospital costs.</w:t>
      </w:r>
    </w:p>
    <w:p w14:paraId="7BE9885C" w14:textId="43D933C7" w:rsidR="00C44617" w:rsidRPr="00D01DA5" w:rsidRDefault="0058034E" w:rsidP="007768AB">
      <w:pPr>
        <w:pStyle w:val="ListParagraph"/>
        <w:numPr>
          <w:ilvl w:val="0"/>
          <w:numId w:val="3"/>
        </w:numPr>
        <w:spacing w:after="0" w:line="240" w:lineRule="auto"/>
        <w:rPr>
          <w:rFonts w:eastAsia="Calibri" w:cstheme="minorHAnsi"/>
        </w:rPr>
      </w:pPr>
      <w:r w:rsidRPr="00D01DA5">
        <w:rPr>
          <w:rFonts w:cstheme="minorHAnsi"/>
          <w:i/>
        </w:rPr>
        <w:t>The Provider Landscape:</w:t>
      </w:r>
      <w:r w:rsidRPr="00D01DA5">
        <w:rPr>
          <w:rFonts w:cstheme="minorHAnsi"/>
        </w:rPr>
        <w:t xml:space="preserve"> </w:t>
      </w:r>
      <w:r w:rsidR="00D01DA5" w:rsidRPr="00D01DA5">
        <w:rPr>
          <w:rFonts w:cstheme="minorHAnsi"/>
        </w:rPr>
        <w:t xml:space="preserve">After </w:t>
      </w:r>
      <w:r w:rsidRPr="00D01DA5">
        <w:rPr>
          <w:rFonts w:cstheme="minorHAnsi"/>
        </w:rPr>
        <w:t xml:space="preserve">identifying the targeted members and outcomes, </w:t>
      </w:r>
      <w:r w:rsidR="00D01DA5" w:rsidRPr="00D01DA5">
        <w:rPr>
          <w:rFonts w:cstheme="minorHAnsi"/>
        </w:rPr>
        <w:t>determine which provider types and/or services</w:t>
      </w:r>
      <w:r w:rsidRPr="00D01DA5">
        <w:rPr>
          <w:rFonts w:cstheme="minorHAnsi"/>
        </w:rPr>
        <w:t xml:space="preserve"> should be targeted such as hospitals or primary care physicians. </w:t>
      </w:r>
    </w:p>
    <w:p w14:paraId="6E684524" w14:textId="77777777" w:rsidR="00D01DA5" w:rsidRPr="000544D8" w:rsidRDefault="00D01DA5" w:rsidP="00D01DA5">
      <w:pPr>
        <w:pStyle w:val="ListParagraph"/>
        <w:spacing w:after="0" w:line="240" w:lineRule="auto"/>
        <w:rPr>
          <w:rFonts w:eastAsia="Calibri" w:cstheme="minorHAnsi"/>
          <w:color w:val="FF0000"/>
        </w:rPr>
      </w:pPr>
    </w:p>
    <w:p w14:paraId="3D3651E9" w14:textId="091C1347" w:rsidR="00833802" w:rsidRDefault="00833802" w:rsidP="007768AB">
      <w:pPr>
        <w:pStyle w:val="ListParagraph"/>
        <w:numPr>
          <w:ilvl w:val="0"/>
          <w:numId w:val="3"/>
        </w:numPr>
        <w:spacing w:after="0" w:line="240" w:lineRule="auto"/>
        <w:rPr>
          <w:rFonts w:eastAsia="Calibri" w:cstheme="minorHAnsi"/>
        </w:rPr>
      </w:pPr>
      <w:r w:rsidRPr="000544D8">
        <w:rPr>
          <w:rFonts w:eastAsia="Calibri" w:cstheme="minorHAnsi"/>
          <w:i/>
        </w:rPr>
        <w:t>Health Insurance Market</w:t>
      </w:r>
      <w:r w:rsidRPr="000544D8">
        <w:rPr>
          <w:rFonts w:eastAsia="Calibri" w:cstheme="minorHAnsi"/>
        </w:rPr>
        <w:t xml:space="preserve">: </w:t>
      </w:r>
      <w:r w:rsidR="003C1592" w:rsidRPr="000544D8">
        <w:rPr>
          <w:rFonts w:eastAsia="Calibri" w:cstheme="minorHAnsi"/>
        </w:rPr>
        <w:t>It is important to identify current</w:t>
      </w:r>
      <w:r w:rsidR="0058034E" w:rsidRPr="000544D8">
        <w:rPr>
          <w:rFonts w:eastAsia="Calibri" w:cstheme="minorHAnsi"/>
        </w:rPr>
        <w:t xml:space="preserve"> VBP models </w:t>
      </w:r>
      <w:r w:rsidR="003C1592" w:rsidRPr="000544D8">
        <w:rPr>
          <w:rFonts w:eastAsia="Calibri" w:cstheme="minorHAnsi"/>
        </w:rPr>
        <w:t xml:space="preserve">in </w:t>
      </w:r>
      <w:r w:rsidR="00B54505" w:rsidRPr="000544D8">
        <w:rPr>
          <w:rFonts w:eastAsia="Calibri" w:cstheme="minorHAnsi"/>
        </w:rPr>
        <w:t>the state</w:t>
      </w:r>
      <w:r w:rsidR="003C1592" w:rsidRPr="000544D8">
        <w:rPr>
          <w:rFonts w:eastAsia="Calibri" w:cstheme="minorHAnsi"/>
        </w:rPr>
        <w:t xml:space="preserve"> </w:t>
      </w:r>
      <w:r w:rsidR="0058034E" w:rsidRPr="000544D8">
        <w:rPr>
          <w:rFonts w:eastAsia="Calibri" w:cstheme="minorHAnsi"/>
        </w:rPr>
        <w:t xml:space="preserve">with </w:t>
      </w:r>
      <w:r w:rsidR="000828B4" w:rsidRPr="000544D8">
        <w:rPr>
          <w:rFonts w:eastAsia="Calibri" w:cstheme="minorHAnsi"/>
        </w:rPr>
        <w:t xml:space="preserve">providers in </w:t>
      </w:r>
      <w:r w:rsidRPr="000544D8">
        <w:rPr>
          <w:rFonts w:eastAsia="Calibri" w:cstheme="minorHAnsi"/>
        </w:rPr>
        <w:t>commercial</w:t>
      </w:r>
      <w:r w:rsidR="0058034E" w:rsidRPr="000544D8">
        <w:rPr>
          <w:rFonts w:eastAsia="Calibri" w:cstheme="minorHAnsi"/>
        </w:rPr>
        <w:t xml:space="preserve"> and Medic</w:t>
      </w:r>
      <w:r w:rsidR="003C1592" w:rsidRPr="000544D8">
        <w:rPr>
          <w:rFonts w:eastAsia="Calibri" w:cstheme="minorHAnsi"/>
        </w:rPr>
        <w:t xml:space="preserve">are </w:t>
      </w:r>
      <w:r w:rsidR="000828B4" w:rsidRPr="000544D8">
        <w:rPr>
          <w:rFonts w:eastAsia="Calibri" w:cstheme="minorHAnsi"/>
        </w:rPr>
        <w:t xml:space="preserve">markets </w:t>
      </w:r>
      <w:r w:rsidR="00B54505" w:rsidRPr="000544D8">
        <w:rPr>
          <w:rFonts w:eastAsia="Calibri" w:cstheme="minorHAnsi"/>
        </w:rPr>
        <w:t>possibly align with these efforts.</w:t>
      </w:r>
      <w:r w:rsidR="00273968" w:rsidRPr="000544D8">
        <w:rPr>
          <w:rFonts w:eastAsia="Calibri" w:cstheme="minorHAnsi"/>
        </w:rPr>
        <w:t xml:space="preserve"> Also, it is useful</w:t>
      </w:r>
      <w:r w:rsidR="003C1592" w:rsidRPr="000544D8">
        <w:rPr>
          <w:rFonts w:eastAsia="Calibri" w:cstheme="minorHAnsi"/>
        </w:rPr>
        <w:t xml:space="preserve"> to assess if the state’s contracted </w:t>
      </w:r>
      <w:r w:rsidR="004529F0">
        <w:rPr>
          <w:rFonts w:eastAsia="Calibri" w:cstheme="minorHAnsi"/>
        </w:rPr>
        <w:t>MCEs</w:t>
      </w:r>
      <w:r w:rsidRPr="000544D8">
        <w:rPr>
          <w:rFonts w:eastAsia="Calibri" w:cstheme="minorHAnsi"/>
        </w:rPr>
        <w:t xml:space="preserve"> </w:t>
      </w:r>
      <w:r w:rsidR="003C1592" w:rsidRPr="000544D8">
        <w:rPr>
          <w:rFonts w:eastAsia="Calibri" w:cstheme="minorHAnsi"/>
        </w:rPr>
        <w:t xml:space="preserve">have </w:t>
      </w:r>
      <w:r w:rsidRPr="000544D8">
        <w:rPr>
          <w:rFonts w:eastAsia="Calibri" w:cstheme="minorHAnsi"/>
        </w:rPr>
        <w:t>successfully impleme</w:t>
      </w:r>
      <w:r w:rsidR="003C1592" w:rsidRPr="000544D8">
        <w:rPr>
          <w:rFonts w:eastAsia="Calibri" w:cstheme="minorHAnsi"/>
        </w:rPr>
        <w:t xml:space="preserve">nted VBP in </w:t>
      </w:r>
      <w:r w:rsidR="00273968" w:rsidRPr="000544D8">
        <w:rPr>
          <w:rFonts w:eastAsia="Calibri" w:cstheme="minorHAnsi"/>
        </w:rPr>
        <w:t xml:space="preserve">other </w:t>
      </w:r>
      <w:r w:rsidR="003C1592" w:rsidRPr="000544D8">
        <w:rPr>
          <w:rFonts w:eastAsia="Calibri" w:cstheme="minorHAnsi"/>
        </w:rPr>
        <w:t>states.</w:t>
      </w:r>
    </w:p>
    <w:p w14:paraId="75CE9D9F" w14:textId="77777777" w:rsidR="00D55863" w:rsidRPr="00D55863" w:rsidRDefault="00D55863" w:rsidP="00D55863">
      <w:pPr>
        <w:pStyle w:val="ListParagraph"/>
        <w:rPr>
          <w:rFonts w:eastAsia="Calibri" w:cstheme="minorHAnsi"/>
        </w:rPr>
      </w:pPr>
    </w:p>
    <w:p w14:paraId="1E386D87" w14:textId="77777777" w:rsidR="00D55863" w:rsidRPr="000544D8" w:rsidRDefault="00D55863" w:rsidP="00D55863">
      <w:pPr>
        <w:pStyle w:val="ListParagraph"/>
        <w:spacing w:after="0" w:line="240" w:lineRule="auto"/>
        <w:rPr>
          <w:rFonts w:eastAsia="Calibri" w:cstheme="minorHAnsi"/>
        </w:rPr>
      </w:pPr>
    </w:p>
    <w:p w14:paraId="67F13CDF" w14:textId="6E06259C" w:rsidR="007D355A" w:rsidRPr="000544D8" w:rsidRDefault="009A5094" w:rsidP="007768AB">
      <w:pPr>
        <w:pStyle w:val="BodyCambria10Black"/>
        <w:numPr>
          <w:ilvl w:val="0"/>
          <w:numId w:val="4"/>
        </w:numPr>
        <w:rPr>
          <w:rFonts w:asciiTheme="minorHAnsi" w:hAnsiTheme="minorHAnsi" w:cstheme="minorHAnsi"/>
          <w:sz w:val="22"/>
          <w:szCs w:val="22"/>
        </w:rPr>
      </w:pPr>
      <w:r w:rsidRPr="000544D8">
        <w:rPr>
          <w:rFonts w:asciiTheme="minorHAnsi" w:hAnsiTheme="minorHAnsi" w:cstheme="minorHAnsi"/>
          <w:i/>
          <w:sz w:val="22"/>
          <w:szCs w:val="22"/>
        </w:rPr>
        <w:t>Administrative Capacity:</w:t>
      </w:r>
      <w:r w:rsidRPr="000544D8">
        <w:rPr>
          <w:rFonts w:asciiTheme="minorHAnsi" w:hAnsiTheme="minorHAnsi" w:cstheme="minorHAnsi"/>
          <w:sz w:val="22"/>
          <w:szCs w:val="22"/>
        </w:rPr>
        <w:t xml:space="preserve"> </w:t>
      </w:r>
      <w:r w:rsidR="007D355A" w:rsidRPr="000544D8">
        <w:rPr>
          <w:rFonts w:asciiTheme="minorHAnsi" w:hAnsiTheme="minorHAnsi" w:cstheme="minorHAnsi"/>
          <w:sz w:val="22"/>
          <w:szCs w:val="22"/>
        </w:rPr>
        <w:t>States need to determine</w:t>
      </w:r>
      <w:r w:rsidR="00BC1EE3" w:rsidRPr="000544D8">
        <w:rPr>
          <w:rFonts w:asciiTheme="minorHAnsi" w:hAnsiTheme="minorHAnsi" w:cstheme="minorHAnsi"/>
          <w:sz w:val="22"/>
          <w:szCs w:val="22"/>
        </w:rPr>
        <w:t xml:space="preserve"> how</w:t>
      </w:r>
      <w:r w:rsidR="007D355A" w:rsidRPr="000544D8">
        <w:rPr>
          <w:rFonts w:asciiTheme="minorHAnsi" w:hAnsiTheme="minorHAnsi" w:cstheme="minorHAnsi"/>
          <w:sz w:val="22"/>
          <w:szCs w:val="22"/>
        </w:rPr>
        <w:t xml:space="preserve"> quality measures will be benchmarked, and the process </w:t>
      </w:r>
      <w:r w:rsidR="00273968" w:rsidRPr="000544D8">
        <w:rPr>
          <w:rFonts w:asciiTheme="minorHAnsi" w:hAnsiTheme="minorHAnsi" w:cstheme="minorHAnsi"/>
          <w:sz w:val="22"/>
          <w:szCs w:val="22"/>
        </w:rPr>
        <w:t xml:space="preserve">and resources necessary </w:t>
      </w:r>
      <w:r w:rsidR="007D355A" w:rsidRPr="000544D8">
        <w:rPr>
          <w:rFonts w:asciiTheme="minorHAnsi" w:hAnsiTheme="minorHAnsi" w:cstheme="minorHAnsi"/>
          <w:sz w:val="22"/>
          <w:szCs w:val="22"/>
        </w:rPr>
        <w:t xml:space="preserve">for collecting and validating data. States will also want to consider whether to align selected measures with existing state </w:t>
      </w:r>
      <w:r w:rsidR="00FB2E84" w:rsidRPr="000544D8">
        <w:rPr>
          <w:rFonts w:asciiTheme="minorHAnsi" w:hAnsiTheme="minorHAnsi" w:cstheme="minorHAnsi"/>
          <w:sz w:val="22"/>
          <w:szCs w:val="22"/>
        </w:rPr>
        <w:t>MCE</w:t>
      </w:r>
      <w:r w:rsidR="007D355A" w:rsidRPr="000544D8">
        <w:rPr>
          <w:rFonts w:asciiTheme="minorHAnsi" w:hAnsiTheme="minorHAnsi" w:cstheme="minorHAnsi"/>
          <w:sz w:val="22"/>
          <w:szCs w:val="22"/>
        </w:rPr>
        <w:t xml:space="preserve"> quality efforts.  </w:t>
      </w:r>
    </w:p>
    <w:p w14:paraId="2CB92010" w14:textId="091F2328" w:rsidR="003C2876" w:rsidRPr="000544D8" w:rsidRDefault="00273968" w:rsidP="007768AB">
      <w:pPr>
        <w:pStyle w:val="BodyCambria10Black"/>
        <w:numPr>
          <w:ilvl w:val="0"/>
          <w:numId w:val="4"/>
        </w:numPr>
        <w:rPr>
          <w:rFonts w:asciiTheme="minorHAnsi" w:hAnsiTheme="minorHAnsi" w:cstheme="minorHAnsi"/>
          <w:sz w:val="22"/>
          <w:szCs w:val="22"/>
        </w:rPr>
      </w:pPr>
      <w:r w:rsidRPr="000544D8">
        <w:rPr>
          <w:rFonts w:asciiTheme="minorHAnsi" w:hAnsiTheme="minorHAnsi" w:cstheme="minorHAnsi"/>
          <w:i/>
          <w:sz w:val="22"/>
          <w:szCs w:val="22"/>
        </w:rPr>
        <w:lastRenderedPageBreak/>
        <w:t>Federal M</w:t>
      </w:r>
      <w:r w:rsidR="00582C2E" w:rsidRPr="000544D8">
        <w:rPr>
          <w:rFonts w:asciiTheme="minorHAnsi" w:hAnsiTheme="minorHAnsi" w:cstheme="minorHAnsi"/>
          <w:i/>
          <w:sz w:val="22"/>
          <w:szCs w:val="22"/>
        </w:rPr>
        <w:t>anaged Care</w:t>
      </w:r>
      <w:r w:rsidRPr="000544D8">
        <w:rPr>
          <w:rFonts w:asciiTheme="minorHAnsi" w:hAnsiTheme="minorHAnsi" w:cstheme="minorHAnsi"/>
          <w:i/>
          <w:sz w:val="22"/>
          <w:szCs w:val="22"/>
        </w:rPr>
        <w:t xml:space="preserve"> Regulatory Requirements (</w:t>
      </w:r>
      <w:r w:rsidR="003C2876" w:rsidRPr="000544D8">
        <w:rPr>
          <w:rFonts w:asciiTheme="minorHAnsi" w:hAnsiTheme="minorHAnsi" w:cstheme="minorHAnsi"/>
          <w:i/>
          <w:sz w:val="22"/>
          <w:szCs w:val="22"/>
        </w:rPr>
        <w:t>42 CFR 438</w:t>
      </w:r>
      <w:r w:rsidRPr="000544D8">
        <w:rPr>
          <w:rFonts w:asciiTheme="minorHAnsi" w:hAnsiTheme="minorHAnsi" w:cstheme="minorHAnsi"/>
          <w:i/>
          <w:sz w:val="22"/>
          <w:szCs w:val="22"/>
        </w:rPr>
        <w:t>):</w:t>
      </w:r>
      <w:r w:rsidR="003C2876" w:rsidRPr="000544D8">
        <w:rPr>
          <w:rFonts w:asciiTheme="minorHAnsi" w:hAnsiTheme="minorHAnsi" w:cstheme="minorHAnsi"/>
          <w:sz w:val="22"/>
          <w:szCs w:val="22"/>
        </w:rPr>
        <w:t xml:space="preserve"> Under the rule, </w:t>
      </w:r>
      <w:r w:rsidRPr="000544D8">
        <w:rPr>
          <w:rFonts w:asciiTheme="minorHAnsi" w:hAnsiTheme="minorHAnsi" w:cstheme="minorHAnsi"/>
          <w:sz w:val="22"/>
          <w:szCs w:val="22"/>
        </w:rPr>
        <w:t xml:space="preserve">VBP arrangements are an </w:t>
      </w:r>
      <w:r w:rsidR="003C2876" w:rsidRPr="000544D8">
        <w:rPr>
          <w:rFonts w:asciiTheme="minorHAnsi" w:hAnsiTheme="minorHAnsi" w:cstheme="minorHAnsi"/>
          <w:sz w:val="22"/>
          <w:szCs w:val="22"/>
        </w:rPr>
        <w:t xml:space="preserve">exception to the provision that states cannot direct </w:t>
      </w:r>
      <w:r w:rsidR="00FB2E84" w:rsidRPr="000544D8">
        <w:rPr>
          <w:rFonts w:asciiTheme="minorHAnsi" w:hAnsiTheme="minorHAnsi" w:cstheme="minorHAnsi"/>
          <w:sz w:val="22"/>
          <w:szCs w:val="22"/>
        </w:rPr>
        <w:t>MCE</w:t>
      </w:r>
      <w:r w:rsidR="003C2876" w:rsidRPr="000544D8">
        <w:rPr>
          <w:rFonts w:asciiTheme="minorHAnsi" w:hAnsiTheme="minorHAnsi" w:cstheme="minorHAnsi"/>
          <w:sz w:val="22"/>
          <w:szCs w:val="22"/>
        </w:rPr>
        <w:t xml:space="preserve"> payment to providers; however, the rule adds new limitations on VBP incentive or withhold arrangements for </w:t>
      </w:r>
      <w:r w:rsidR="004529F0">
        <w:rPr>
          <w:rFonts w:asciiTheme="minorHAnsi" w:hAnsiTheme="minorHAnsi" w:cstheme="minorHAnsi"/>
          <w:sz w:val="22"/>
          <w:szCs w:val="22"/>
        </w:rPr>
        <w:t>the MCE</w:t>
      </w:r>
      <w:r w:rsidR="003C2876" w:rsidRPr="000544D8">
        <w:rPr>
          <w:rFonts w:asciiTheme="minorHAnsi" w:hAnsiTheme="minorHAnsi" w:cstheme="minorHAnsi"/>
          <w:sz w:val="22"/>
          <w:szCs w:val="22"/>
        </w:rPr>
        <w:t>.</w:t>
      </w:r>
      <w:r w:rsidRPr="000544D8">
        <w:rPr>
          <w:rFonts w:asciiTheme="minorHAnsi" w:hAnsiTheme="minorHAnsi" w:cstheme="minorHAnsi"/>
          <w:sz w:val="22"/>
          <w:szCs w:val="22"/>
        </w:rPr>
        <w:t xml:space="preserve">  Any proposed model must be considered in the context of these regulations.</w:t>
      </w:r>
    </w:p>
    <w:p w14:paraId="550FD29D" w14:textId="77777777" w:rsidR="00CD7C12" w:rsidRPr="00D55863" w:rsidRDefault="00CD7C12" w:rsidP="00DB0CA3">
      <w:pPr>
        <w:pStyle w:val="BodyCambria10Black"/>
        <w:rPr>
          <w:rFonts w:asciiTheme="minorHAnsi" w:hAnsiTheme="minorHAnsi" w:cstheme="minorHAnsi"/>
          <w:b/>
          <w:sz w:val="22"/>
          <w:szCs w:val="22"/>
          <w:u w:val="single"/>
        </w:rPr>
      </w:pPr>
      <w:r w:rsidRPr="00D55863">
        <w:rPr>
          <w:rFonts w:asciiTheme="minorHAnsi" w:hAnsiTheme="minorHAnsi" w:cstheme="minorHAnsi"/>
          <w:b/>
          <w:sz w:val="22"/>
          <w:szCs w:val="22"/>
          <w:u w:val="single"/>
        </w:rPr>
        <w:t>Benefits and Challenges of VBP Models</w:t>
      </w:r>
    </w:p>
    <w:p w14:paraId="5B0FB1D7" w14:textId="2DE0A83C" w:rsidR="008F4E91" w:rsidRPr="000544D8" w:rsidRDefault="008F4E91" w:rsidP="00DB0CA3">
      <w:pPr>
        <w:pStyle w:val="BodyCambria10Black"/>
        <w:rPr>
          <w:rFonts w:asciiTheme="minorHAnsi" w:hAnsiTheme="minorHAnsi" w:cstheme="minorHAnsi"/>
          <w:sz w:val="22"/>
          <w:szCs w:val="22"/>
        </w:rPr>
      </w:pPr>
      <w:r w:rsidRPr="000544D8">
        <w:rPr>
          <w:rFonts w:asciiTheme="minorHAnsi" w:hAnsiTheme="minorHAnsi" w:cstheme="minorHAnsi"/>
          <w:sz w:val="22"/>
          <w:szCs w:val="22"/>
        </w:rPr>
        <w:t xml:space="preserve">The table below presents </w:t>
      </w:r>
      <w:r w:rsidR="000316FF" w:rsidRPr="000544D8">
        <w:rPr>
          <w:rFonts w:asciiTheme="minorHAnsi" w:hAnsiTheme="minorHAnsi" w:cstheme="minorHAnsi"/>
          <w:sz w:val="22"/>
          <w:szCs w:val="22"/>
        </w:rPr>
        <w:t xml:space="preserve">some of the major </w:t>
      </w:r>
      <w:r w:rsidRPr="000544D8">
        <w:rPr>
          <w:rFonts w:asciiTheme="minorHAnsi" w:hAnsiTheme="minorHAnsi" w:cstheme="minorHAnsi"/>
          <w:sz w:val="22"/>
          <w:szCs w:val="22"/>
        </w:rPr>
        <w:t xml:space="preserve">benefits and challenges associated with VBP </w:t>
      </w:r>
      <w:r w:rsidR="00B54505" w:rsidRPr="000544D8">
        <w:rPr>
          <w:rFonts w:asciiTheme="minorHAnsi" w:hAnsiTheme="minorHAnsi" w:cstheme="minorHAnsi"/>
          <w:sz w:val="22"/>
          <w:szCs w:val="22"/>
        </w:rPr>
        <w:t>model</w:t>
      </w:r>
      <w:r w:rsidRPr="000544D8">
        <w:rPr>
          <w:rFonts w:asciiTheme="minorHAnsi" w:hAnsiTheme="minorHAnsi" w:cstheme="minorHAnsi"/>
          <w:sz w:val="22"/>
          <w:szCs w:val="22"/>
        </w:rPr>
        <w:t>s:</w:t>
      </w:r>
    </w:p>
    <w:tbl>
      <w:tblPr>
        <w:tblStyle w:val="TableGrid"/>
        <w:tblW w:w="9540" w:type="dxa"/>
        <w:tblInd w:w="-185" w:type="dxa"/>
        <w:tblLayout w:type="fixed"/>
        <w:tblCellMar>
          <w:left w:w="115" w:type="dxa"/>
          <w:right w:w="115" w:type="dxa"/>
        </w:tblCellMar>
        <w:tblLook w:val="04A0" w:firstRow="1" w:lastRow="0" w:firstColumn="1" w:lastColumn="0" w:noHBand="0" w:noVBand="1"/>
      </w:tblPr>
      <w:tblGrid>
        <w:gridCol w:w="4849"/>
        <w:gridCol w:w="4691"/>
      </w:tblGrid>
      <w:tr w:rsidR="008F4E91" w:rsidRPr="000544D8" w14:paraId="52FD8E94" w14:textId="77777777" w:rsidTr="00273968">
        <w:trPr>
          <w:trHeight w:hRule="exact" w:val="334"/>
          <w:tblHeader/>
        </w:trPr>
        <w:tc>
          <w:tcPr>
            <w:tcW w:w="9540" w:type="dxa"/>
            <w:gridSpan w:val="2"/>
            <w:shd w:val="clear" w:color="auto" w:fill="4DB7C5"/>
            <w:vAlign w:val="center"/>
          </w:tcPr>
          <w:p w14:paraId="04267906" w14:textId="77777777" w:rsidR="008F4E91" w:rsidRPr="000544D8" w:rsidRDefault="003E34A1" w:rsidP="003E34A1">
            <w:pPr>
              <w:pStyle w:val="BodyCambria10Black"/>
              <w:jc w:val="center"/>
              <w:rPr>
                <w:rFonts w:asciiTheme="minorHAnsi" w:hAnsiTheme="minorHAnsi" w:cstheme="minorHAnsi"/>
                <w:b/>
                <w:color w:val="FFFFFF" w:themeColor="background1"/>
                <w:sz w:val="22"/>
                <w:szCs w:val="22"/>
              </w:rPr>
            </w:pPr>
            <w:r w:rsidRPr="000544D8">
              <w:rPr>
                <w:rFonts w:asciiTheme="minorHAnsi" w:hAnsiTheme="minorHAnsi" w:cstheme="minorHAnsi"/>
                <w:b/>
                <w:color w:val="FFFFFF" w:themeColor="background1"/>
                <w:sz w:val="22"/>
                <w:szCs w:val="22"/>
              </w:rPr>
              <w:t>Value Based Payment Benefits and Challenges</w:t>
            </w:r>
          </w:p>
        </w:tc>
      </w:tr>
      <w:tr w:rsidR="008F4E91" w:rsidRPr="000544D8" w14:paraId="7DBFF4AD" w14:textId="77777777" w:rsidTr="00273968">
        <w:trPr>
          <w:trHeight w:hRule="exact" w:val="316"/>
          <w:tblHeader/>
        </w:trPr>
        <w:tc>
          <w:tcPr>
            <w:tcW w:w="4849" w:type="dxa"/>
            <w:shd w:val="clear" w:color="auto" w:fill="4DB7C5"/>
            <w:vAlign w:val="center"/>
          </w:tcPr>
          <w:p w14:paraId="6453B4D5" w14:textId="77777777" w:rsidR="008F4E91" w:rsidRPr="000544D8" w:rsidRDefault="008F4E91" w:rsidP="008F4E91">
            <w:pPr>
              <w:pStyle w:val="BodyCambria10Black"/>
              <w:jc w:val="center"/>
              <w:rPr>
                <w:rFonts w:asciiTheme="minorHAnsi" w:hAnsiTheme="minorHAnsi" w:cstheme="minorHAnsi"/>
                <w:b/>
                <w:color w:val="FFFFFF" w:themeColor="background1"/>
                <w:sz w:val="22"/>
                <w:szCs w:val="22"/>
              </w:rPr>
            </w:pPr>
            <w:r w:rsidRPr="000544D8">
              <w:rPr>
                <w:rFonts w:asciiTheme="minorHAnsi" w:hAnsiTheme="minorHAnsi" w:cstheme="minorHAnsi"/>
                <w:b/>
                <w:color w:val="FFFFFF" w:themeColor="background1"/>
                <w:sz w:val="22"/>
                <w:szCs w:val="22"/>
              </w:rPr>
              <w:t>VBP Benefits</w:t>
            </w:r>
          </w:p>
        </w:tc>
        <w:tc>
          <w:tcPr>
            <w:tcW w:w="4691" w:type="dxa"/>
            <w:shd w:val="clear" w:color="auto" w:fill="4DB7C5"/>
            <w:vAlign w:val="center"/>
          </w:tcPr>
          <w:p w14:paraId="7A4D2CE3" w14:textId="77777777" w:rsidR="008F4E91" w:rsidRPr="000544D8" w:rsidRDefault="008F4E91" w:rsidP="008F4E91">
            <w:pPr>
              <w:pStyle w:val="BodyCambria10Black"/>
              <w:jc w:val="center"/>
              <w:rPr>
                <w:rFonts w:asciiTheme="minorHAnsi" w:hAnsiTheme="minorHAnsi" w:cstheme="minorHAnsi"/>
                <w:b/>
                <w:color w:val="FFFFFF" w:themeColor="background1"/>
                <w:sz w:val="22"/>
                <w:szCs w:val="22"/>
              </w:rPr>
            </w:pPr>
            <w:r w:rsidRPr="000544D8">
              <w:rPr>
                <w:rFonts w:asciiTheme="minorHAnsi" w:hAnsiTheme="minorHAnsi" w:cstheme="minorHAnsi"/>
                <w:b/>
                <w:color w:val="FFFFFF" w:themeColor="background1"/>
                <w:sz w:val="22"/>
                <w:szCs w:val="22"/>
              </w:rPr>
              <w:t>VBP Challenges</w:t>
            </w:r>
          </w:p>
        </w:tc>
      </w:tr>
      <w:tr w:rsidR="00C0684D" w:rsidRPr="000544D8" w14:paraId="3AFB0042" w14:textId="77777777" w:rsidTr="00273968">
        <w:trPr>
          <w:trHeight w:val="1106"/>
        </w:trPr>
        <w:tc>
          <w:tcPr>
            <w:tcW w:w="4849" w:type="dxa"/>
          </w:tcPr>
          <w:p w14:paraId="481A868F" w14:textId="20056E57" w:rsidR="00C0684D" w:rsidRPr="000544D8" w:rsidRDefault="002324A2" w:rsidP="007768AB">
            <w:pPr>
              <w:pStyle w:val="BodyCambria10Black"/>
              <w:numPr>
                <w:ilvl w:val="0"/>
                <w:numId w:val="19"/>
              </w:numPr>
              <w:ind w:left="335" w:hanging="335"/>
              <w:rPr>
                <w:rFonts w:asciiTheme="minorHAnsi" w:hAnsiTheme="minorHAnsi" w:cstheme="minorHAnsi"/>
                <w:sz w:val="22"/>
                <w:szCs w:val="22"/>
              </w:rPr>
            </w:pPr>
            <w:r w:rsidRPr="000544D8">
              <w:rPr>
                <w:rFonts w:asciiTheme="minorHAnsi" w:hAnsiTheme="minorHAnsi" w:cstheme="minorHAnsi"/>
                <w:sz w:val="22"/>
                <w:szCs w:val="22"/>
              </w:rPr>
              <w:t>Shifts payment system from a volume based approach to value based approach that</w:t>
            </w:r>
            <w:r w:rsidR="004126F0" w:rsidRPr="000544D8">
              <w:rPr>
                <w:rFonts w:asciiTheme="minorHAnsi" w:hAnsiTheme="minorHAnsi" w:cstheme="minorHAnsi"/>
                <w:sz w:val="22"/>
                <w:szCs w:val="22"/>
              </w:rPr>
              <w:t xml:space="preserve"> contractually</w:t>
            </w:r>
            <w:r w:rsidRPr="000544D8">
              <w:rPr>
                <w:rFonts w:asciiTheme="minorHAnsi" w:hAnsiTheme="minorHAnsi" w:cstheme="minorHAnsi"/>
                <w:sz w:val="22"/>
                <w:szCs w:val="22"/>
              </w:rPr>
              <w:t xml:space="preserve"> incentiv</w:t>
            </w:r>
            <w:r w:rsidR="00847993" w:rsidRPr="000544D8">
              <w:rPr>
                <w:rFonts w:asciiTheme="minorHAnsi" w:hAnsiTheme="minorHAnsi" w:cstheme="minorHAnsi"/>
                <w:sz w:val="22"/>
                <w:szCs w:val="22"/>
              </w:rPr>
              <w:t>iz</w:t>
            </w:r>
            <w:r w:rsidRPr="000544D8">
              <w:rPr>
                <w:rFonts w:asciiTheme="minorHAnsi" w:hAnsiTheme="minorHAnsi" w:cstheme="minorHAnsi"/>
                <w:sz w:val="22"/>
                <w:szCs w:val="22"/>
              </w:rPr>
              <w:t xml:space="preserve">es </w:t>
            </w:r>
            <w:r w:rsidR="00FB2E84" w:rsidRPr="000544D8">
              <w:rPr>
                <w:rFonts w:asciiTheme="minorHAnsi" w:hAnsiTheme="minorHAnsi" w:cstheme="minorHAnsi"/>
                <w:sz w:val="22"/>
                <w:szCs w:val="22"/>
              </w:rPr>
              <w:t>MCE</w:t>
            </w:r>
            <w:r w:rsidR="00847993" w:rsidRPr="000544D8">
              <w:rPr>
                <w:rFonts w:asciiTheme="minorHAnsi" w:hAnsiTheme="minorHAnsi" w:cstheme="minorHAnsi"/>
                <w:sz w:val="22"/>
                <w:szCs w:val="22"/>
              </w:rPr>
              <w:t>s</w:t>
            </w:r>
            <w:r w:rsidR="004126F0" w:rsidRPr="000544D8">
              <w:rPr>
                <w:rFonts w:asciiTheme="minorHAnsi" w:hAnsiTheme="minorHAnsi" w:cstheme="minorHAnsi"/>
                <w:sz w:val="22"/>
                <w:szCs w:val="22"/>
              </w:rPr>
              <w:t xml:space="preserve"> to improve the </w:t>
            </w:r>
            <w:r w:rsidRPr="000544D8">
              <w:rPr>
                <w:rFonts w:asciiTheme="minorHAnsi" w:hAnsiTheme="minorHAnsi" w:cstheme="minorHAnsi"/>
                <w:sz w:val="22"/>
                <w:szCs w:val="22"/>
              </w:rPr>
              <w:t>quality of care.</w:t>
            </w:r>
          </w:p>
        </w:tc>
        <w:tc>
          <w:tcPr>
            <w:tcW w:w="4691" w:type="dxa"/>
          </w:tcPr>
          <w:p w14:paraId="3CA90393" w14:textId="77777777" w:rsidR="00C0684D" w:rsidRPr="000544D8" w:rsidRDefault="00C0684D" w:rsidP="007768AB">
            <w:pPr>
              <w:pStyle w:val="BodyCambria10Black"/>
              <w:numPr>
                <w:ilvl w:val="0"/>
                <w:numId w:val="8"/>
              </w:numPr>
              <w:rPr>
                <w:rFonts w:asciiTheme="minorHAnsi" w:hAnsiTheme="minorHAnsi" w:cstheme="minorHAnsi"/>
                <w:sz w:val="22"/>
                <w:szCs w:val="22"/>
              </w:rPr>
            </w:pPr>
            <w:r w:rsidRPr="000544D8">
              <w:rPr>
                <w:rFonts w:asciiTheme="minorHAnsi" w:hAnsiTheme="minorHAnsi" w:cstheme="minorHAnsi"/>
                <w:sz w:val="22"/>
                <w:szCs w:val="22"/>
              </w:rPr>
              <w:t>While CMS and a majority</w:t>
            </w:r>
            <w:r w:rsidR="00513574" w:rsidRPr="000544D8">
              <w:rPr>
                <w:rFonts w:asciiTheme="minorHAnsi" w:hAnsiTheme="minorHAnsi" w:cstheme="minorHAnsi"/>
                <w:sz w:val="22"/>
                <w:szCs w:val="22"/>
              </w:rPr>
              <w:t xml:space="preserve"> of states have implemented VBP models</w:t>
            </w:r>
            <w:r w:rsidRPr="000544D8">
              <w:rPr>
                <w:rFonts w:asciiTheme="minorHAnsi" w:hAnsiTheme="minorHAnsi" w:cstheme="minorHAnsi"/>
                <w:sz w:val="22"/>
                <w:szCs w:val="22"/>
              </w:rPr>
              <w:t xml:space="preserve">, </w:t>
            </w:r>
            <w:r w:rsidR="00513574" w:rsidRPr="000544D8">
              <w:rPr>
                <w:rFonts w:asciiTheme="minorHAnsi" w:hAnsiTheme="minorHAnsi" w:cstheme="minorHAnsi"/>
                <w:sz w:val="22"/>
                <w:szCs w:val="22"/>
              </w:rPr>
              <w:t xml:space="preserve">the </w:t>
            </w:r>
            <w:r w:rsidR="00847993" w:rsidRPr="000544D8">
              <w:rPr>
                <w:rFonts w:asciiTheme="minorHAnsi" w:hAnsiTheme="minorHAnsi" w:cstheme="minorHAnsi"/>
                <w:sz w:val="22"/>
                <w:szCs w:val="22"/>
              </w:rPr>
              <w:t xml:space="preserve">approach is relatively new and </w:t>
            </w:r>
            <w:r w:rsidRPr="000544D8">
              <w:rPr>
                <w:rFonts w:asciiTheme="minorHAnsi" w:hAnsiTheme="minorHAnsi" w:cstheme="minorHAnsi"/>
                <w:sz w:val="22"/>
                <w:szCs w:val="22"/>
              </w:rPr>
              <w:t xml:space="preserve">definitive results on effectiveness are </w:t>
            </w:r>
            <w:r w:rsidR="000C12E2" w:rsidRPr="000544D8">
              <w:rPr>
                <w:rFonts w:asciiTheme="minorHAnsi" w:hAnsiTheme="minorHAnsi" w:cstheme="minorHAnsi"/>
                <w:sz w:val="22"/>
                <w:szCs w:val="22"/>
              </w:rPr>
              <w:t xml:space="preserve">not </w:t>
            </w:r>
            <w:r w:rsidR="00513574" w:rsidRPr="000544D8">
              <w:rPr>
                <w:rFonts w:asciiTheme="minorHAnsi" w:hAnsiTheme="minorHAnsi" w:cstheme="minorHAnsi"/>
                <w:sz w:val="22"/>
                <w:szCs w:val="22"/>
              </w:rPr>
              <w:t xml:space="preserve">currently </w:t>
            </w:r>
            <w:r w:rsidRPr="000544D8">
              <w:rPr>
                <w:rFonts w:asciiTheme="minorHAnsi" w:hAnsiTheme="minorHAnsi" w:cstheme="minorHAnsi"/>
                <w:sz w:val="22"/>
                <w:szCs w:val="22"/>
              </w:rPr>
              <w:t xml:space="preserve">available.  </w:t>
            </w:r>
          </w:p>
        </w:tc>
      </w:tr>
      <w:tr w:rsidR="008F4E91" w:rsidRPr="000544D8" w14:paraId="00E62558" w14:textId="77777777" w:rsidTr="00273968">
        <w:trPr>
          <w:trHeight w:val="1160"/>
        </w:trPr>
        <w:tc>
          <w:tcPr>
            <w:tcW w:w="4849" w:type="dxa"/>
          </w:tcPr>
          <w:p w14:paraId="4A45C65B" w14:textId="350C274D" w:rsidR="008F4E91" w:rsidRPr="000544D8" w:rsidRDefault="00847993" w:rsidP="007768AB">
            <w:pPr>
              <w:pStyle w:val="BodyCambria10Black"/>
              <w:numPr>
                <w:ilvl w:val="0"/>
                <w:numId w:val="20"/>
              </w:numPr>
              <w:ind w:left="335" w:hanging="335"/>
              <w:rPr>
                <w:rFonts w:asciiTheme="minorHAnsi" w:hAnsiTheme="minorHAnsi" w:cstheme="minorHAnsi"/>
                <w:sz w:val="22"/>
                <w:szCs w:val="22"/>
              </w:rPr>
            </w:pPr>
            <w:r w:rsidRPr="000544D8">
              <w:rPr>
                <w:rFonts w:asciiTheme="minorHAnsi" w:hAnsiTheme="minorHAnsi" w:cstheme="minorHAnsi"/>
                <w:sz w:val="22"/>
                <w:szCs w:val="22"/>
              </w:rPr>
              <w:t>Has the potential to r</w:t>
            </w:r>
            <w:r w:rsidR="004126F0" w:rsidRPr="000544D8">
              <w:rPr>
                <w:rFonts w:asciiTheme="minorHAnsi" w:hAnsiTheme="minorHAnsi" w:cstheme="minorHAnsi"/>
                <w:sz w:val="22"/>
                <w:szCs w:val="22"/>
              </w:rPr>
              <w:t xml:space="preserve">educe inappropriate care </w:t>
            </w:r>
            <w:r w:rsidR="00513574" w:rsidRPr="000544D8">
              <w:rPr>
                <w:rFonts w:asciiTheme="minorHAnsi" w:hAnsiTheme="minorHAnsi" w:cstheme="minorHAnsi"/>
                <w:sz w:val="22"/>
                <w:szCs w:val="22"/>
              </w:rPr>
              <w:t xml:space="preserve">by </w:t>
            </w:r>
            <w:r w:rsidR="004126F0" w:rsidRPr="000544D8">
              <w:rPr>
                <w:rFonts w:asciiTheme="minorHAnsi" w:hAnsiTheme="minorHAnsi" w:cstheme="minorHAnsi"/>
                <w:sz w:val="22"/>
                <w:szCs w:val="22"/>
              </w:rPr>
              <w:t>reward</w:t>
            </w:r>
            <w:r w:rsidR="00513574" w:rsidRPr="000544D8">
              <w:rPr>
                <w:rFonts w:asciiTheme="minorHAnsi" w:hAnsiTheme="minorHAnsi" w:cstheme="minorHAnsi"/>
                <w:sz w:val="22"/>
                <w:szCs w:val="22"/>
              </w:rPr>
              <w:t>ing</w:t>
            </w:r>
            <w:r w:rsidR="004126F0" w:rsidRPr="000544D8">
              <w:rPr>
                <w:rFonts w:asciiTheme="minorHAnsi" w:hAnsiTheme="minorHAnsi" w:cstheme="minorHAnsi"/>
                <w:sz w:val="22"/>
                <w:szCs w:val="22"/>
              </w:rPr>
              <w:t xml:space="preserve"> </w:t>
            </w:r>
            <w:r w:rsidR="004B2FA4">
              <w:rPr>
                <w:rFonts w:asciiTheme="minorHAnsi" w:hAnsiTheme="minorHAnsi" w:cstheme="minorHAnsi"/>
                <w:sz w:val="22"/>
                <w:szCs w:val="22"/>
              </w:rPr>
              <w:t>MCE</w:t>
            </w:r>
            <w:r w:rsidR="004126F0" w:rsidRPr="000544D8">
              <w:rPr>
                <w:rFonts w:asciiTheme="minorHAnsi" w:hAnsiTheme="minorHAnsi" w:cstheme="minorHAnsi"/>
                <w:sz w:val="22"/>
                <w:szCs w:val="22"/>
              </w:rPr>
              <w:t xml:space="preserve">s/providers </w:t>
            </w:r>
            <w:r w:rsidRPr="000544D8">
              <w:rPr>
                <w:rFonts w:asciiTheme="minorHAnsi" w:hAnsiTheme="minorHAnsi" w:cstheme="minorHAnsi"/>
                <w:sz w:val="22"/>
                <w:szCs w:val="22"/>
              </w:rPr>
              <w:t xml:space="preserve">for </w:t>
            </w:r>
            <w:r w:rsidR="004126F0" w:rsidRPr="000544D8">
              <w:rPr>
                <w:rFonts w:asciiTheme="minorHAnsi" w:hAnsiTheme="minorHAnsi" w:cstheme="minorHAnsi"/>
                <w:sz w:val="22"/>
                <w:szCs w:val="22"/>
              </w:rPr>
              <w:t>achiev</w:t>
            </w:r>
            <w:r w:rsidRPr="000544D8">
              <w:rPr>
                <w:rFonts w:asciiTheme="minorHAnsi" w:hAnsiTheme="minorHAnsi" w:cstheme="minorHAnsi"/>
                <w:sz w:val="22"/>
                <w:szCs w:val="22"/>
              </w:rPr>
              <w:t>ing</w:t>
            </w:r>
            <w:r w:rsidR="004126F0" w:rsidRPr="000544D8">
              <w:rPr>
                <w:rFonts w:asciiTheme="minorHAnsi" w:hAnsiTheme="minorHAnsi" w:cstheme="minorHAnsi"/>
                <w:sz w:val="22"/>
                <w:szCs w:val="22"/>
              </w:rPr>
              <w:t xml:space="preserve"> desired performance outcomes.</w:t>
            </w:r>
          </w:p>
        </w:tc>
        <w:tc>
          <w:tcPr>
            <w:tcW w:w="4691" w:type="dxa"/>
          </w:tcPr>
          <w:p w14:paraId="71D77DDA" w14:textId="1DD3EEFA" w:rsidR="008F4E91" w:rsidRPr="000544D8" w:rsidRDefault="00C521A0" w:rsidP="007768AB">
            <w:pPr>
              <w:pStyle w:val="BodyCambria10Black"/>
              <w:numPr>
                <w:ilvl w:val="0"/>
                <w:numId w:val="6"/>
              </w:numPr>
              <w:rPr>
                <w:rFonts w:asciiTheme="minorHAnsi" w:hAnsiTheme="minorHAnsi" w:cstheme="minorHAnsi"/>
                <w:sz w:val="22"/>
                <w:szCs w:val="22"/>
              </w:rPr>
            </w:pPr>
            <w:r w:rsidRPr="000544D8">
              <w:rPr>
                <w:rFonts w:asciiTheme="minorHAnsi" w:hAnsiTheme="minorHAnsi" w:cstheme="minorHAnsi"/>
                <w:sz w:val="22"/>
                <w:szCs w:val="22"/>
              </w:rPr>
              <w:t>The state’s r</w:t>
            </w:r>
            <w:r w:rsidR="002C2D29" w:rsidRPr="000544D8">
              <w:rPr>
                <w:rFonts w:asciiTheme="minorHAnsi" w:hAnsiTheme="minorHAnsi" w:cstheme="minorHAnsi"/>
                <w:sz w:val="22"/>
                <w:szCs w:val="22"/>
              </w:rPr>
              <w:t>eturn on i</w:t>
            </w:r>
            <w:r w:rsidR="00EA5962" w:rsidRPr="000544D8">
              <w:rPr>
                <w:rFonts w:asciiTheme="minorHAnsi" w:hAnsiTheme="minorHAnsi" w:cstheme="minorHAnsi"/>
                <w:sz w:val="22"/>
                <w:szCs w:val="22"/>
              </w:rPr>
              <w:t>nvestment, staffing</w:t>
            </w:r>
            <w:r w:rsidR="00847993" w:rsidRPr="000544D8">
              <w:rPr>
                <w:rFonts w:asciiTheme="minorHAnsi" w:hAnsiTheme="minorHAnsi" w:cstheme="minorHAnsi"/>
                <w:sz w:val="22"/>
                <w:szCs w:val="22"/>
              </w:rPr>
              <w:t>,</w:t>
            </w:r>
            <w:r w:rsidR="00EA5962" w:rsidRPr="000544D8">
              <w:rPr>
                <w:rFonts w:asciiTheme="minorHAnsi" w:hAnsiTheme="minorHAnsi" w:cstheme="minorHAnsi"/>
                <w:sz w:val="22"/>
                <w:szCs w:val="22"/>
              </w:rPr>
              <w:t xml:space="preserve"> and data infrastructure needs </w:t>
            </w:r>
            <w:r w:rsidR="00847993" w:rsidRPr="000544D8">
              <w:rPr>
                <w:rFonts w:asciiTheme="minorHAnsi" w:hAnsiTheme="minorHAnsi" w:cstheme="minorHAnsi"/>
                <w:sz w:val="22"/>
                <w:szCs w:val="22"/>
              </w:rPr>
              <w:t xml:space="preserve">can vary significantly </w:t>
            </w:r>
            <w:r w:rsidR="007317BB" w:rsidRPr="000544D8">
              <w:rPr>
                <w:rFonts w:asciiTheme="minorHAnsi" w:hAnsiTheme="minorHAnsi" w:cstheme="minorHAnsi"/>
                <w:sz w:val="22"/>
                <w:szCs w:val="22"/>
              </w:rPr>
              <w:t xml:space="preserve">and </w:t>
            </w:r>
            <w:r w:rsidR="00EA5962" w:rsidRPr="000544D8">
              <w:rPr>
                <w:rFonts w:asciiTheme="minorHAnsi" w:hAnsiTheme="minorHAnsi" w:cstheme="minorHAnsi"/>
                <w:sz w:val="22"/>
                <w:szCs w:val="22"/>
              </w:rPr>
              <w:t xml:space="preserve">cannot be determined until the state identifies VBP </w:t>
            </w:r>
            <w:r w:rsidR="00513574" w:rsidRPr="000544D8">
              <w:rPr>
                <w:rFonts w:asciiTheme="minorHAnsi" w:hAnsiTheme="minorHAnsi" w:cstheme="minorHAnsi"/>
                <w:sz w:val="22"/>
                <w:szCs w:val="22"/>
              </w:rPr>
              <w:t xml:space="preserve">model </w:t>
            </w:r>
            <w:r w:rsidR="00EA5962" w:rsidRPr="000544D8">
              <w:rPr>
                <w:rFonts w:asciiTheme="minorHAnsi" w:hAnsiTheme="minorHAnsi" w:cstheme="minorHAnsi"/>
                <w:sz w:val="22"/>
                <w:szCs w:val="22"/>
              </w:rPr>
              <w:t>goals and approach.</w:t>
            </w:r>
          </w:p>
          <w:p w14:paraId="73040A81" w14:textId="49859971" w:rsidR="000828B4" w:rsidRPr="000544D8" w:rsidRDefault="004B2FA4" w:rsidP="007768AB">
            <w:pPr>
              <w:pStyle w:val="BodyCambria10Black"/>
              <w:numPr>
                <w:ilvl w:val="0"/>
                <w:numId w:val="6"/>
              </w:numPr>
              <w:rPr>
                <w:rFonts w:asciiTheme="minorHAnsi" w:hAnsiTheme="minorHAnsi" w:cstheme="minorHAnsi"/>
                <w:sz w:val="22"/>
                <w:szCs w:val="22"/>
              </w:rPr>
            </w:pPr>
            <w:r>
              <w:rPr>
                <w:rFonts w:asciiTheme="minorHAnsi" w:hAnsiTheme="minorHAnsi" w:cstheme="minorHAnsi"/>
                <w:sz w:val="22"/>
                <w:szCs w:val="22"/>
              </w:rPr>
              <w:t>MCE</w:t>
            </w:r>
            <w:r w:rsidR="000828B4" w:rsidRPr="000544D8">
              <w:rPr>
                <w:rFonts w:asciiTheme="minorHAnsi" w:hAnsiTheme="minorHAnsi" w:cstheme="minorHAnsi"/>
                <w:sz w:val="22"/>
                <w:szCs w:val="22"/>
              </w:rPr>
              <w:t xml:space="preserve">s and providers may be reluctant to and/or decide not to participate in the Medicaid program if they view their Medicaid reimbursements as already low and identify the VBP model as a financial risk. Providers may also consider perceived barriers to meeting health outcomes or the administrative burden of new payment models. </w:t>
            </w:r>
          </w:p>
          <w:p w14:paraId="7D13EFDE" w14:textId="77777777" w:rsidR="000828B4" w:rsidRPr="000544D8" w:rsidRDefault="000828B4" w:rsidP="007768AB">
            <w:pPr>
              <w:pStyle w:val="BodyCambria10Black"/>
              <w:numPr>
                <w:ilvl w:val="0"/>
                <w:numId w:val="6"/>
              </w:numPr>
              <w:rPr>
                <w:rFonts w:asciiTheme="minorHAnsi" w:hAnsiTheme="minorHAnsi" w:cstheme="minorHAnsi"/>
                <w:sz w:val="22"/>
                <w:szCs w:val="22"/>
              </w:rPr>
            </w:pPr>
            <w:r w:rsidRPr="000544D8">
              <w:rPr>
                <w:rFonts w:asciiTheme="minorHAnsi" w:hAnsiTheme="minorHAnsi" w:cstheme="minorHAnsi"/>
                <w:color w:val="000000" w:themeColor="text1"/>
                <w:sz w:val="22"/>
                <w:szCs w:val="22"/>
              </w:rPr>
              <w:t>May be difficult to achieve outcomes in rural areas experiencing health care professional shortages.</w:t>
            </w:r>
          </w:p>
        </w:tc>
      </w:tr>
      <w:tr w:rsidR="00291490" w:rsidRPr="000544D8" w14:paraId="3DEADCC0" w14:textId="77777777" w:rsidTr="00273968">
        <w:trPr>
          <w:trHeight w:val="1502"/>
        </w:trPr>
        <w:tc>
          <w:tcPr>
            <w:tcW w:w="4849" w:type="dxa"/>
          </w:tcPr>
          <w:p w14:paraId="183340AB" w14:textId="77777777" w:rsidR="00291490" w:rsidRPr="000544D8" w:rsidRDefault="00291490" w:rsidP="007768AB">
            <w:pPr>
              <w:pStyle w:val="BodyCambria10Black"/>
              <w:numPr>
                <w:ilvl w:val="0"/>
                <w:numId w:val="21"/>
              </w:numPr>
              <w:ind w:left="335" w:hanging="335"/>
              <w:rPr>
                <w:rFonts w:asciiTheme="minorHAnsi" w:hAnsiTheme="minorHAnsi" w:cstheme="minorHAnsi"/>
                <w:sz w:val="22"/>
                <w:szCs w:val="22"/>
              </w:rPr>
            </w:pPr>
            <w:r w:rsidRPr="000544D8">
              <w:rPr>
                <w:rFonts w:asciiTheme="minorHAnsi" w:hAnsiTheme="minorHAnsi" w:cstheme="minorHAnsi"/>
                <w:sz w:val="22"/>
                <w:szCs w:val="22"/>
              </w:rPr>
              <w:lastRenderedPageBreak/>
              <w:t>Drives improvements in quality</w:t>
            </w:r>
            <w:r w:rsidR="00513574" w:rsidRPr="000544D8">
              <w:rPr>
                <w:rFonts w:asciiTheme="minorHAnsi" w:hAnsiTheme="minorHAnsi" w:cstheme="minorHAnsi"/>
                <w:sz w:val="22"/>
                <w:szCs w:val="22"/>
              </w:rPr>
              <w:t>, emphasizes prevention,</w:t>
            </w:r>
            <w:r w:rsidRPr="000544D8">
              <w:rPr>
                <w:rFonts w:asciiTheme="minorHAnsi" w:hAnsiTheme="minorHAnsi" w:cstheme="minorHAnsi"/>
                <w:sz w:val="22"/>
                <w:szCs w:val="22"/>
              </w:rPr>
              <w:t xml:space="preserve"> and </w:t>
            </w:r>
            <w:r w:rsidR="00C67A71" w:rsidRPr="000544D8">
              <w:rPr>
                <w:rFonts w:asciiTheme="minorHAnsi" w:hAnsiTheme="minorHAnsi" w:cstheme="minorHAnsi"/>
                <w:sz w:val="22"/>
                <w:szCs w:val="22"/>
              </w:rPr>
              <w:t xml:space="preserve">may </w:t>
            </w:r>
            <w:r w:rsidRPr="000544D8">
              <w:rPr>
                <w:rFonts w:asciiTheme="minorHAnsi" w:hAnsiTheme="minorHAnsi" w:cstheme="minorHAnsi"/>
                <w:sz w:val="22"/>
                <w:szCs w:val="22"/>
              </w:rPr>
              <w:t>slow the growth in health care spending.</w:t>
            </w:r>
          </w:p>
        </w:tc>
        <w:tc>
          <w:tcPr>
            <w:tcW w:w="4691" w:type="dxa"/>
          </w:tcPr>
          <w:p w14:paraId="01448D3C" w14:textId="6B59A828" w:rsidR="00291490" w:rsidRPr="000544D8" w:rsidRDefault="000828B4" w:rsidP="007768AB">
            <w:pPr>
              <w:pStyle w:val="BodyCambria10Black"/>
              <w:numPr>
                <w:ilvl w:val="0"/>
                <w:numId w:val="6"/>
              </w:numPr>
              <w:rPr>
                <w:rFonts w:asciiTheme="minorHAnsi" w:hAnsiTheme="minorHAnsi" w:cstheme="minorHAnsi"/>
                <w:sz w:val="22"/>
                <w:szCs w:val="22"/>
              </w:rPr>
            </w:pPr>
            <w:r w:rsidRPr="000544D8">
              <w:rPr>
                <w:rFonts w:asciiTheme="minorHAnsi" w:hAnsiTheme="minorHAnsi" w:cstheme="minorHAnsi"/>
                <w:sz w:val="22"/>
                <w:szCs w:val="22"/>
              </w:rPr>
              <w:t>State</w:t>
            </w:r>
            <w:r w:rsidR="00291490" w:rsidRPr="000544D8">
              <w:rPr>
                <w:rFonts w:asciiTheme="minorHAnsi" w:hAnsiTheme="minorHAnsi" w:cstheme="minorHAnsi"/>
                <w:sz w:val="22"/>
                <w:szCs w:val="22"/>
              </w:rPr>
              <w:t>/</w:t>
            </w:r>
            <w:r w:rsidR="004B2FA4">
              <w:rPr>
                <w:rFonts w:asciiTheme="minorHAnsi" w:hAnsiTheme="minorHAnsi" w:cstheme="minorHAnsi"/>
                <w:sz w:val="22"/>
                <w:szCs w:val="22"/>
              </w:rPr>
              <w:t>MCE</w:t>
            </w:r>
            <w:r w:rsidR="00291490" w:rsidRPr="000544D8">
              <w:rPr>
                <w:rFonts w:asciiTheme="minorHAnsi" w:hAnsiTheme="minorHAnsi" w:cstheme="minorHAnsi"/>
                <w:sz w:val="22"/>
                <w:szCs w:val="22"/>
              </w:rPr>
              <w:t>/</w:t>
            </w:r>
            <w:r w:rsidR="00C11575" w:rsidRPr="000544D8">
              <w:rPr>
                <w:rFonts w:asciiTheme="minorHAnsi" w:hAnsiTheme="minorHAnsi" w:cstheme="minorHAnsi"/>
                <w:sz w:val="22"/>
                <w:szCs w:val="22"/>
              </w:rPr>
              <w:t>p</w:t>
            </w:r>
            <w:r w:rsidR="00291490" w:rsidRPr="000544D8">
              <w:rPr>
                <w:rFonts w:asciiTheme="minorHAnsi" w:hAnsiTheme="minorHAnsi" w:cstheme="minorHAnsi"/>
                <w:sz w:val="22"/>
                <w:szCs w:val="22"/>
              </w:rPr>
              <w:t xml:space="preserve">rovider readiness in terms of data infrastructure.  Systems must be able to process data associated with </w:t>
            </w:r>
            <w:r w:rsidR="002C2D29" w:rsidRPr="000544D8">
              <w:rPr>
                <w:rFonts w:asciiTheme="minorHAnsi" w:hAnsiTheme="minorHAnsi" w:cstheme="minorHAnsi"/>
                <w:sz w:val="22"/>
                <w:szCs w:val="22"/>
              </w:rPr>
              <w:t xml:space="preserve">the </w:t>
            </w:r>
            <w:r w:rsidR="00291490" w:rsidRPr="000544D8">
              <w:rPr>
                <w:rFonts w:asciiTheme="minorHAnsi" w:hAnsiTheme="minorHAnsi" w:cstheme="minorHAnsi"/>
                <w:sz w:val="22"/>
                <w:szCs w:val="22"/>
              </w:rPr>
              <w:t xml:space="preserve">VBP structure, clinical outcomes, and be able to generate </w:t>
            </w:r>
            <w:r w:rsidR="002C2D29" w:rsidRPr="000544D8">
              <w:rPr>
                <w:rFonts w:asciiTheme="minorHAnsi" w:hAnsiTheme="minorHAnsi" w:cstheme="minorHAnsi"/>
                <w:sz w:val="22"/>
                <w:szCs w:val="22"/>
              </w:rPr>
              <w:t xml:space="preserve">timely </w:t>
            </w:r>
            <w:r w:rsidR="00291490" w:rsidRPr="000544D8">
              <w:rPr>
                <w:rFonts w:asciiTheme="minorHAnsi" w:hAnsiTheme="minorHAnsi" w:cstheme="minorHAnsi"/>
                <w:sz w:val="22"/>
                <w:szCs w:val="22"/>
              </w:rPr>
              <w:t xml:space="preserve">reports to and from the </w:t>
            </w:r>
            <w:r w:rsidRPr="000544D8">
              <w:rPr>
                <w:rFonts w:asciiTheme="minorHAnsi" w:hAnsiTheme="minorHAnsi" w:cstheme="minorHAnsi"/>
                <w:sz w:val="22"/>
                <w:szCs w:val="22"/>
              </w:rPr>
              <w:t>state</w:t>
            </w:r>
            <w:r w:rsidR="00291490" w:rsidRPr="000544D8">
              <w:rPr>
                <w:rFonts w:asciiTheme="minorHAnsi" w:hAnsiTheme="minorHAnsi" w:cstheme="minorHAnsi"/>
                <w:sz w:val="22"/>
                <w:szCs w:val="22"/>
              </w:rPr>
              <w:t xml:space="preserve">, </w:t>
            </w:r>
            <w:r w:rsidR="004B2FA4">
              <w:rPr>
                <w:rFonts w:asciiTheme="minorHAnsi" w:hAnsiTheme="minorHAnsi" w:cstheme="minorHAnsi"/>
                <w:sz w:val="22"/>
                <w:szCs w:val="22"/>
              </w:rPr>
              <w:t>MCE</w:t>
            </w:r>
            <w:r w:rsidR="00291490" w:rsidRPr="000544D8">
              <w:rPr>
                <w:rFonts w:asciiTheme="minorHAnsi" w:hAnsiTheme="minorHAnsi" w:cstheme="minorHAnsi"/>
                <w:sz w:val="22"/>
                <w:szCs w:val="22"/>
              </w:rPr>
              <w:t xml:space="preserve"> and/or providers.  </w:t>
            </w:r>
          </w:p>
        </w:tc>
      </w:tr>
      <w:tr w:rsidR="00291490" w:rsidRPr="000544D8" w14:paraId="60E72EAA" w14:textId="77777777" w:rsidTr="00273968">
        <w:tc>
          <w:tcPr>
            <w:tcW w:w="4849" w:type="dxa"/>
          </w:tcPr>
          <w:p w14:paraId="76237871" w14:textId="70294402" w:rsidR="00291490" w:rsidRPr="000544D8" w:rsidRDefault="007317BB" w:rsidP="007768AB">
            <w:pPr>
              <w:pStyle w:val="BodyCambria10Black"/>
              <w:numPr>
                <w:ilvl w:val="0"/>
                <w:numId w:val="21"/>
              </w:numPr>
              <w:ind w:left="335" w:hanging="335"/>
              <w:rPr>
                <w:rFonts w:asciiTheme="minorHAnsi" w:hAnsiTheme="minorHAnsi" w:cstheme="minorHAnsi"/>
                <w:sz w:val="22"/>
                <w:szCs w:val="22"/>
              </w:rPr>
            </w:pPr>
            <w:r w:rsidRPr="000544D8">
              <w:rPr>
                <w:rFonts w:asciiTheme="minorHAnsi" w:hAnsiTheme="minorHAnsi" w:cstheme="minorHAnsi"/>
                <w:sz w:val="22"/>
                <w:szCs w:val="22"/>
              </w:rPr>
              <w:t>Creates an opportunity for multi-payer alignment, es</w:t>
            </w:r>
            <w:r w:rsidR="004B2FA4">
              <w:rPr>
                <w:rFonts w:asciiTheme="minorHAnsi" w:hAnsiTheme="minorHAnsi" w:cstheme="minorHAnsi"/>
                <w:sz w:val="22"/>
                <w:szCs w:val="22"/>
              </w:rPr>
              <w:t>pecially with Medicare for dual-</w:t>
            </w:r>
            <w:r w:rsidRPr="000544D8">
              <w:rPr>
                <w:rFonts w:asciiTheme="minorHAnsi" w:hAnsiTheme="minorHAnsi" w:cstheme="minorHAnsi"/>
                <w:sz w:val="22"/>
                <w:szCs w:val="22"/>
              </w:rPr>
              <w:t>eligibles.</w:t>
            </w:r>
          </w:p>
        </w:tc>
        <w:tc>
          <w:tcPr>
            <w:tcW w:w="4691" w:type="dxa"/>
          </w:tcPr>
          <w:p w14:paraId="49D08E12" w14:textId="277B7DBA" w:rsidR="00291490" w:rsidRPr="000544D8" w:rsidRDefault="00291490" w:rsidP="007768AB">
            <w:pPr>
              <w:pStyle w:val="BodyCambria10Black"/>
              <w:numPr>
                <w:ilvl w:val="0"/>
                <w:numId w:val="6"/>
              </w:numPr>
              <w:rPr>
                <w:rFonts w:asciiTheme="minorHAnsi" w:hAnsiTheme="minorHAnsi" w:cstheme="minorHAnsi"/>
                <w:sz w:val="22"/>
                <w:szCs w:val="22"/>
              </w:rPr>
            </w:pPr>
            <w:r w:rsidRPr="000544D8">
              <w:rPr>
                <w:rFonts w:asciiTheme="minorHAnsi" w:hAnsiTheme="minorHAnsi" w:cstheme="minorHAnsi"/>
                <w:sz w:val="22"/>
                <w:szCs w:val="22"/>
              </w:rPr>
              <w:t>Agency/</w:t>
            </w:r>
            <w:r w:rsidR="004B2FA4">
              <w:rPr>
                <w:rFonts w:asciiTheme="minorHAnsi" w:hAnsiTheme="minorHAnsi" w:cstheme="minorHAnsi"/>
                <w:sz w:val="22"/>
                <w:szCs w:val="22"/>
              </w:rPr>
              <w:t>MCE</w:t>
            </w:r>
            <w:r w:rsidRPr="000544D8">
              <w:rPr>
                <w:rFonts w:asciiTheme="minorHAnsi" w:hAnsiTheme="minorHAnsi" w:cstheme="minorHAnsi"/>
                <w:sz w:val="22"/>
                <w:szCs w:val="22"/>
              </w:rPr>
              <w:t xml:space="preserve">/Provider readiness in terms of staff resources including size and skill set to support the VBP </w:t>
            </w:r>
            <w:r w:rsidR="00BC1EE3" w:rsidRPr="000544D8">
              <w:rPr>
                <w:rFonts w:asciiTheme="minorHAnsi" w:hAnsiTheme="minorHAnsi" w:cstheme="minorHAnsi"/>
                <w:sz w:val="22"/>
                <w:szCs w:val="22"/>
              </w:rPr>
              <w:t>model</w:t>
            </w:r>
            <w:r w:rsidRPr="000544D8">
              <w:rPr>
                <w:rFonts w:asciiTheme="minorHAnsi" w:hAnsiTheme="minorHAnsi" w:cstheme="minorHAnsi"/>
                <w:sz w:val="22"/>
                <w:szCs w:val="22"/>
              </w:rPr>
              <w:t xml:space="preserve">. </w:t>
            </w:r>
          </w:p>
        </w:tc>
      </w:tr>
    </w:tbl>
    <w:p w14:paraId="3D9AEC46" w14:textId="77777777" w:rsidR="006E1559" w:rsidRPr="000544D8" w:rsidRDefault="006E1559" w:rsidP="00DB0CA3">
      <w:pPr>
        <w:pStyle w:val="BodyCambria10Black"/>
        <w:rPr>
          <w:rFonts w:asciiTheme="minorHAnsi" w:hAnsiTheme="minorHAnsi" w:cstheme="minorHAnsi"/>
          <w:sz w:val="22"/>
          <w:szCs w:val="22"/>
        </w:rPr>
      </w:pPr>
    </w:p>
    <w:p w14:paraId="793E2F9D" w14:textId="06937898" w:rsidR="00C927A4" w:rsidRDefault="00C927A4" w:rsidP="00C927A4">
      <w:pPr>
        <w:pStyle w:val="BodyCambria10Black"/>
        <w:rPr>
          <w:rFonts w:asciiTheme="minorHAnsi" w:hAnsiTheme="minorHAnsi" w:cstheme="minorHAnsi"/>
          <w:b/>
          <w:sz w:val="22"/>
          <w:szCs w:val="22"/>
          <w:u w:val="single"/>
        </w:rPr>
      </w:pPr>
      <w:r>
        <w:rPr>
          <w:rFonts w:asciiTheme="minorHAnsi" w:hAnsiTheme="minorHAnsi" w:cstheme="minorHAnsi"/>
          <w:b/>
          <w:sz w:val="22"/>
          <w:szCs w:val="22"/>
          <w:u w:val="single"/>
        </w:rPr>
        <w:t>HCP LAN Roadmap for Driving High Performance in Alternative Payment Models</w:t>
      </w:r>
      <w:r w:rsidR="007E1349">
        <w:rPr>
          <w:rFonts w:asciiTheme="minorHAnsi" w:hAnsiTheme="minorHAnsi" w:cstheme="minorHAnsi"/>
          <w:b/>
          <w:sz w:val="22"/>
          <w:szCs w:val="22"/>
          <w:u w:val="single"/>
        </w:rPr>
        <w:t xml:space="preserve"> </w:t>
      </w:r>
      <w:r w:rsidR="00616412">
        <w:rPr>
          <w:rFonts w:asciiTheme="minorHAnsi" w:hAnsiTheme="minorHAnsi" w:cstheme="minorHAnsi"/>
          <w:b/>
          <w:sz w:val="22"/>
          <w:szCs w:val="22"/>
          <w:u w:val="single"/>
          <w:vertAlign w:val="superscript"/>
        </w:rPr>
        <w:t>viii</w:t>
      </w:r>
    </w:p>
    <w:p w14:paraId="23983AC4" w14:textId="77777777" w:rsidR="00A708AB" w:rsidRPr="00A708AB" w:rsidRDefault="00A708AB" w:rsidP="00A708AB">
      <w:r w:rsidRPr="00A708AB">
        <w:rPr>
          <w:rFonts w:cs="Lato"/>
          <w:color w:val="221E1F"/>
        </w:rPr>
        <w:t xml:space="preserve">In April, 2019, the HCP-LAN published the </w:t>
      </w:r>
      <w:r w:rsidRPr="00A708AB">
        <w:rPr>
          <w:rFonts w:cs="Lato"/>
          <w:i/>
          <w:iCs/>
          <w:color w:val="221E1F"/>
        </w:rPr>
        <w:t xml:space="preserve">Roadmap for Driving High Performance in Alternative Payment Models (APM) </w:t>
      </w:r>
      <w:r w:rsidRPr="00A708AB">
        <w:rPr>
          <w:rFonts w:cs="Lato"/>
          <w:iCs/>
          <w:color w:val="221E1F"/>
        </w:rPr>
        <w:t>(Roadmap)</w:t>
      </w:r>
      <w:r w:rsidRPr="00A708AB">
        <w:rPr>
          <w:rFonts w:cs="Lato"/>
          <w:i/>
          <w:iCs/>
          <w:color w:val="221E1F"/>
        </w:rPr>
        <w:t xml:space="preserve">.  </w:t>
      </w:r>
      <w:r w:rsidRPr="00A708AB">
        <w:rPr>
          <w:rFonts w:cs="Lato"/>
          <w:iCs/>
          <w:color w:val="221E1F"/>
        </w:rPr>
        <w:t>The Roadmap is designed to provide promising APM use cases</w:t>
      </w:r>
      <w:r w:rsidRPr="00A708AB">
        <w:rPr>
          <w:rFonts w:cs="Lato"/>
          <w:i/>
          <w:iCs/>
          <w:color w:val="221E1F"/>
        </w:rPr>
        <w:t xml:space="preserve"> </w:t>
      </w:r>
      <w:r w:rsidRPr="00A708AB">
        <w:rPr>
          <w:rFonts w:cs="Lato"/>
          <w:color w:val="221E1F"/>
        </w:rPr>
        <w:t xml:space="preserve">that have achieved success, defined by HCP-LAN as improving quality and lowering costs. The </w:t>
      </w:r>
      <w:r w:rsidRPr="00A708AB">
        <w:rPr>
          <w:rFonts w:cs="Lato"/>
          <w:iCs/>
          <w:color w:val="221E1F"/>
        </w:rPr>
        <w:t>Roadmap</w:t>
      </w:r>
      <w:r w:rsidRPr="00A708AB">
        <w:rPr>
          <w:rFonts w:cs="Lato"/>
          <w:i/>
          <w:iCs/>
          <w:color w:val="221E1F"/>
        </w:rPr>
        <w:t xml:space="preserve"> </w:t>
      </w:r>
      <w:r w:rsidRPr="00A708AB">
        <w:rPr>
          <w:rFonts w:cs="Lato"/>
          <w:color w:val="221E1F"/>
        </w:rPr>
        <w:t xml:space="preserve">is a pilot study designed from interviews with payers and providers involved in 10 different APMs. Roadmap practices are presented in three domains: APM Design, Payer-Provider Collaboration, and Person- Centered Care.  The </w:t>
      </w:r>
      <w:r w:rsidRPr="00A708AB">
        <w:rPr>
          <w:rFonts w:cs="Lato"/>
          <w:iCs/>
          <w:color w:val="221E1F"/>
        </w:rPr>
        <w:t>Roadmap</w:t>
      </w:r>
      <w:r w:rsidRPr="00A708AB">
        <w:rPr>
          <w:rFonts w:cs="Lato"/>
          <w:i/>
          <w:iCs/>
          <w:color w:val="221E1F"/>
        </w:rPr>
        <w:t xml:space="preserve"> </w:t>
      </w:r>
      <w:r w:rsidRPr="00A708AB">
        <w:rPr>
          <w:rFonts w:cs="Lato"/>
          <w:color w:val="221E1F"/>
        </w:rPr>
        <w:t>also includes helpful information regarding a “Path Forward” to identify prerequisites needed to support the development of APMs.</w:t>
      </w:r>
    </w:p>
    <w:p w14:paraId="59DB446E" w14:textId="58111F47" w:rsidR="00C44A15" w:rsidRDefault="00C44A15" w:rsidP="007E1349">
      <w:r>
        <w:t>According to the HCP-LAN, the Roadmap:</w:t>
      </w:r>
    </w:p>
    <w:p w14:paraId="5C4A5919" w14:textId="77777777" w:rsidR="00C44A15" w:rsidRDefault="00C44A15" w:rsidP="007768AB">
      <w:pPr>
        <w:pStyle w:val="ListParagraph"/>
        <w:numPr>
          <w:ilvl w:val="0"/>
          <w:numId w:val="11"/>
        </w:numPr>
      </w:pPr>
      <w:r>
        <w:t>Describes the characteristics of successful APMs</w:t>
      </w:r>
    </w:p>
    <w:p w14:paraId="2732B00A" w14:textId="77777777" w:rsidR="00C44A15" w:rsidRDefault="00C44A15" w:rsidP="007768AB">
      <w:pPr>
        <w:pStyle w:val="ListParagraph"/>
        <w:numPr>
          <w:ilvl w:val="0"/>
          <w:numId w:val="11"/>
        </w:numPr>
      </w:pPr>
      <w:r>
        <w:t>Highlights best practices</w:t>
      </w:r>
    </w:p>
    <w:p w14:paraId="52E0AA79" w14:textId="77777777" w:rsidR="00616412" w:rsidRDefault="00C44A15" w:rsidP="007768AB">
      <w:pPr>
        <w:pStyle w:val="ListParagraph"/>
        <w:numPr>
          <w:ilvl w:val="0"/>
          <w:numId w:val="11"/>
        </w:numPr>
      </w:pPr>
      <w:r>
        <w:t>Provides strategies for mitigating common challenges</w:t>
      </w:r>
    </w:p>
    <w:p w14:paraId="586BBE53" w14:textId="77777777" w:rsidR="00616412" w:rsidRDefault="00616412" w:rsidP="00616412"/>
    <w:p w14:paraId="10A0A3C1" w14:textId="0C7C8273" w:rsidR="007E1349" w:rsidRDefault="00616412" w:rsidP="00616412">
      <w:r>
        <w:t xml:space="preserve">The following is a summary of best practices by domain. </w:t>
      </w:r>
      <w:r w:rsidRPr="00616412">
        <w:rPr>
          <w:vertAlign w:val="superscript"/>
        </w:rPr>
        <w:t>viii</w:t>
      </w:r>
      <w:r>
        <w:t xml:space="preserve"> </w:t>
      </w:r>
      <w:r w:rsidR="007E1349">
        <w:br w:type="page"/>
      </w:r>
    </w:p>
    <w:p w14:paraId="7DEDBC14" w14:textId="65CC6CC2" w:rsidR="00DC1146" w:rsidRPr="000544D8" w:rsidRDefault="00837D94" w:rsidP="00DC1146">
      <w:pPr>
        <w:pStyle w:val="BodyCambria10Black"/>
        <w:rPr>
          <w:rFonts w:asciiTheme="minorHAnsi" w:hAnsiTheme="minorHAnsi" w:cstheme="minorHAnsi"/>
          <w:b/>
          <w:i/>
          <w:sz w:val="22"/>
          <w:szCs w:val="22"/>
        </w:rPr>
      </w:pPr>
      <w:r>
        <w:rPr>
          <w:rFonts w:asciiTheme="minorHAnsi" w:hAnsiTheme="minorHAnsi" w:cstheme="minorHAnsi"/>
          <w:b/>
          <w:i/>
          <w:sz w:val="22"/>
          <w:szCs w:val="22"/>
        </w:rPr>
        <w:lastRenderedPageBreak/>
        <w:t>APM Design:</w:t>
      </w:r>
    </w:p>
    <w:p w14:paraId="6DC888B1" w14:textId="46A5C4FB" w:rsidR="007E1349" w:rsidRPr="00914853" w:rsidRDefault="007E1349" w:rsidP="007768AB">
      <w:pPr>
        <w:pStyle w:val="ListParagraph"/>
        <w:numPr>
          <w:ilvl w:val="0"/>
          <w:numId w:val="12"/>
        </w:numPr>
      </w:pPr>
      <w:r w:rsidRPr="00914853">
        <w:t xml:space="preserve">Establishing </w:t>
      </w:r>
      <w:r w:rsidR="00A22ED4">
        <w:t>different</w:t>
      </w:r>
      <w:r w:rsidRPr="00914853">
        <w:t xml:space="preserve"> payment structures </w:t>
      </w:r>
      <w:r w:rsidR="00A22ED4">
        <w:t xml:space="preserve">such as </w:t>
      </w:r>
      <w:r w:rsidRPr="00914853">
        <w:t xml:space="preserve">base payments, </w:t>
      </w:r>
      <w:r w:rsidR="00A22ED4">
        <w:t>capital</w:t>
      </w:r>
      <w:r w:rsidRPr="00914853">
        <w:t xml:space="preserve"> investments, and </w:t>
      </w:r>
      <w:r w:rsidR="00A22ED4">
        <w:t xml:space="preserve">quality-based </w:t>
      </w:r>
      <w:r w:rsidRPr="00914853">
        <w:t xml:space="preserve">incentive payments for </w:t>
      </w:r>
      <w:r w:rsidR="00A22ED4">
        <w:t xml:space="preserve">both population </w:t>
      </w:r>
      <w:r w:rsidRPr="00914853">
        <w:t xml:space="preserve">and episode-based models. </w:t>
      </w:r>
      <w:r w:rsidR="006E2B37">
        <w:t xml:space="preserve">Certain </w:t>
      </w:r>
      <w:r w:rsidRPr="00914853">
        <w:t xml:space="preserve">strategies </w:t>
      </w:r>
      <w:r w:rsidR="006E2B37">
        <w:t xml:space="preserve">are designed to achieve incremental adoption of </w:t>
      </w:r>
      <w:r w:rsidRPr="00914853">
        <w:t xml:space="preserve">APMs </w:t>
      </w:r>
      <w:r w:rsidR="006E2B37">
        <w:t xml:space="preserve">based on readiness or to limit </w:t>
      </w:r>
      <w:r w:rsidRPr="00914853">
        <w:t xml:space="preserve">financial accountability. </w:t>
      </w:r>
    </w:p>
    <w:p w14:paraId="10F49D67" w14:textId="77777777" w:rsidR="0004622E" w:rsidRDefault="0004622E" w:rsidP="007768AB">
      <w:pPr>
        <w:pStyle w:val="ListParagraph"/>
        <w:numPr>
          <w:ilvl w:val="0"/>
          <w:numId w:val="12"/>
        </w:numPr>
      </w:pPr>
      <w:r>
        <w:t xml:space="preserve">Utilizing </w:t>
      </w:r>
      <w:r w:rsidR="007E1349" w:rsidRPr="00914853">
        <w:t xml:space="preserve">HEDIS measures </w:t>
      </w:r>
      <w:r>
        <w:t xml:space="preserve">that address patient outcomes </w:t>
      </w:r>
      <w:r w:rsidR="007E1349" w:rsidRPr="00914853">
        <w:t xml:space="preserve">in population-based models, while </w:t>
      </w:r>
      <w:r>
        <w:t xml:space="preserve">attempting to </w:t>
      </w:r>
      <w:r w:rsidR="007E1349" w:rsidRPr="00914853">
        <w:t xml:space="preserve">reduce </w:t>
      </w:r>
      <w:r>
        <w:t xml:space="preserve">administrative </w:t>
      </w:r>
      <w:r w:rsidR="007E1349" w:rsidRPr="00914853">
        <w:t xml:space="preserve">burden. </w:t>
      </w:r>
    </w:p>
    <w:p w14:paraId="4130EAE8" w14:textId="2D1E8173" w:rsidR="007E1349" w:rsidRPr="00914853" w:rsidRDefault="007E1349" w:rsidP="007768AB">
      <w:pPr>
        <w:pStyle w:val="ListParagraph"/>
        <w:numPr>
          <w:ilvl w:val="0"/>
          <w:numId w:val="12"/>
        </w:numPr>
      </w:pPr>
      <w:r w:rsidRPr="00914853">
        <w:t xml:space="preserve">In episode-based models, use both core measure sets and episode-specific measures. </w:t>
      </w:r>
    </w:p>
    <w:p w14:paraId="544DCF42" w14:textId="6A07C9D3" w:rsidR="0004622E" w:rsidRDefault="0004622E" w:rsidP="007768AB">
      <w:pPr>
        <w:pStyle w:val="ListParagraph"/>
        <w:numPr>
          <w:ilvl w:val="0"/>
          <w:numId w:val="12"/>
        </w:numPr>
      </w:pPr>
      <w:r>
        <w:t>Implement</w:t>
      </w:r>
      <w:r w:rsidR="007E1349" w:rsidRPr="00914853">
        <w:t xml:space="preserve"> prospective and retrospective patient attribution methodologies in population-based models</w:t>
      </w:r>
      <w:r>
        <w:t>.</w:t>
      </w:r>
    </w:p>
    <w:p w14:paraId="0CB0A2D2" w14:textId="267999E4" w:rsidR="007E1349" w:rsidRPr="00914853" w:rsidRDefault="0004622E" w:rsidP="007768AB">
      <w:pPr>
        <w:pStyle w:val="ListParagraph"/>
        <w:numPr>
          <w:ilvl w:val="0"/>
          <w:numId w:val="12"/>
        </w:numPr>
      </w:pPr>
      <w:r>
        <w:t>Establishing</w:t>
      </w:r>
      <w:r w:rsidR="007E1349" w:rsidRPr="00914853">
        <w:t xml:space="preserve"> attribution in episodes of care based on </w:t>
      </w:r>
      <w:r>
        <w:t>specified</w:t>
      </w:r>
      <w:r w:rsidR="007E1349" w:rsidRPr="00914853">
        <w:t xml:space="preserve"> criteria. </w:t>
      </w:r>
    </w:p>
    <w:p w14:paraId="56795774" w14:textId="77777777" w:rsidR="00541DA1" w:rsidRDefault="00541DA1" w:rsidP="007768AB">
      <w:pPr>
        <w:pStyle w:val="ListParagraph"/>
        <w:numPr>
          <w:ilvl w:val="0"/>
          <w:numId w:val="12"/>
        </w:numPr>
      </w:pPr>
      <w:r>
        <w:t>Collaborating</w:t>
      </w:r>
      <w:r w:rsidR="007E1349" w:rsidRPr="00914853">
        <w:t xml:space="preserve"> with stakeholders to develop multi-payer models </w:t>
      </w:r>
      <w:r>
        <w:t>that drive</w:t>
      </w:r>
      <w:r w:rsidR="007E1349" w:rsidRPr="00914853">
        <w:t xml:space="preserve"> alignment </w:t>
      </w:r>
      <w:r>
        <w:t xml:space="preserve">with overall </w:t>
      </w:r>
      <w:r w:rsidR="007E1349" w:rsidRPr="00914853">
        <w:t xml:space="preserve">model design </w:t>
      </w:r>
      <w:r>
        <w:t>objectives</w:t>
      </w:r>
      <w:r w:rsidR="007E1349" w:rsidRPr="00914853">
        <w:t xml:space="preserve">. </w:t>
      </w:r>
    </w:p>
    <w:p w14:paraId="6F631246" w14:textId="1EAD73F6" w:rsidR="007E1349" w:rsidRPr="00914853" w:rsidRDefault="00541DA1" w:rsidP="007768AB">
      <w:pPr>
        <w:pStyle w:val="ListParagraph"/>
        <w:numPr>
          <w:ilvl w:val="0"/>
          <w:numId w:val="12"/>
        </w:numPr>
      </w:pPr>
      <w:r>
        <w:t>Accelerating multi-payer alignment through s</w:t>
      </w:r>
      <w:r w:rsidR="007E1349" w:rsidRPr="00914853">
        <w:t xml:space="preserve">trong leadership from states and dominant stakeholders. </w:t>
      </w:r>
    </w:p>
    <w:p w14:paraId="46C10C47" w14:textId="4ED57808" w:rsidR="007E1349" w:rsidRDefault="00837D94" w:rsidP="00394DB0">
      <w:pPr>
        <w:pStyle w:val="BodyCambria10Black"/>
      </w:pPr>
      <w:r>
        <w:rPr>
          <w:rFonts w:asciiTheme="minorHAnsi" w:hAnsiTheme="minorHAnsi" w:cstheme="minorHAnsi"/>
          <w:b/>
          <w:i/>
          <w:sz w:val="22"/>
          <w:szCs w:val="22"/>
        </w:rPr>
        <w:t>Payer – Provider Collaboration:</w:t>
      </w:r>
      <w:r w:rsidR="007E1349" w:rsidRPr="00A43BC3">
        <w:t xml:space="preserve"> </w:t>
      </w:r>
    </w:p>
    <w:p w14:paraId="0FC40122" w14:textId="4C67B5C3" w:rsidR="00EB3DA8" w:rsidRPr="00EB3DA8" w:rsidRDefault="007E1349" w:rsidP="007768AB">
      <w:pPr>
        <w:pStyle w:val="ListParagraph"/>
        <w:numPr>
          <w:ilvl w:val="0"/>
          <w:numId w:val="13"/>
        </w:numPr>
        <w:rPr>
          <w:b/>
          <w:bCs/>
          <w:i/>
          <w:iCs/>
          <w:color w:val="113E67"/>
        </w:rPr>
      </w:pPr>
      <w:r w:rsidRPr="00914853">
        <w:t xml:space="preserve">Engaging </w:t>
      </w:r>
      <w:r w:rsidR="00EB3DA8">
        <w:t xml:space="preserve">stakeholders in </w:t>
      </w:r>
      <w:r w:rsidRPr="00914853">
        <w:t xml:space="preserve">APM design </w:t>
      </w:r>
      <w:r w:rsidR="00EB3DA8">
        <w:t xml:space="preserve">such as through </w:t>
      </w:r>
      <w:r w:rsidRPr="00914853">
        <w:t>advisory councils</w:t>
      </w:r>
      <w:r w:rsidR="00EB3DA8">
        <w:t xml:space="preserve"> or committees.</w:t>
      </w:r>
    </w:p>
    <w:p w14:paraId="0A68F95A" w14:textId="53A4CF4D" w:rsidR="00EB3DA8" w:rsidRPr="00EB3DA8" w:rsidRDefault="00EB3DA8" w:rsidP="007768AB">
      <w:pPr>
        <w:pStyle w:val="ListParagraph"/>
        <w:numPr>
          <w:ilvl w:val="0"/>
          <w:numId w:val="13"/>
        </w:numPr>
        <w:rPr>
          <w:b/>
          <w:bCs/>
          <w:i/>
          <w:iCs/>
          <w:color w:val="113E67"/>
        </w:rPr>
      </w:pPr>
      <w:r>
        <w:t>A</w:t>
      </w:r>
      <w:r w:rsidR="007E1349" w:rsidRPr="00914853">
        <w:t>ssessing capabilities f</w:t>
      </w:r>
      <w:r>
        <w:t>or population health management.</w:t>
      </w:r>
    </w:p>
    <w:p w14:paraId="7700DB94" w14:textId="74B1A053" w:rsidR="007E1349" w:rsidRPr="00A43BC3" w:rsidRDefault="00EB3DA8" w:rsidP="007768AB">
      <w:pPr>
        <w:pStyle w:val="ListParagraph"/>
        <w:numPr>
          <w:ilvl w:val="0"/>
          <w:numId w:val="13"/>
        </w:numPr>
        <w:rPr>
          <w:b/>
          <w:bCs/>
          <w:i/>
          <w:iCs/>
          <w:color w:val="113E67"/>
        </w:rPr>
      </w:pPr>
      <w:r>
        <w:t>Establishing processes for communication and learning collaboration.</w:t>
      </w:r>
    </w:p>
    <w:p w14:paraId="76F4AA28" w14:textId="51686F01" w:rsidR="007E1349" w:rsidRPr="00A43BC3" w:rsidRDefault="00EB3DA8" w:rsidP="007768AB">
      <w:pPr>
        <w:pStyle w:val="ListParagraph"/>
        <w:numPr>
          <w:ilvl w:val="0"/>
          <w:numId w:val="13"/>
        </w:numPr>
        <w:rPr>
          <w:b/>
          <w:bCs/>
          <w:i/>
          <w:iCs/>
          <w:color w:val="113E67"/>
        </w:rPr>
      </w:pPr>
      <w:r>
        <w:rPr>
          <w:rFonts w:ascii="Calibri" w:hAnsi="Calibri"/>
        </w:rPr>
        <w:t xml:space="preserve">Establishing data sharing processes to identify </w:t>
      </w:r>
      <w:r w:rsidR="007E1349" w:rsidRPr="00914853">
        <w:rPr>
          <w:rFonts w:ascii="Calibri" w:hAnsi="Calibri"/>
        </w:rPr>
        <w:t xml:space="preserve">gaps in care, cost and utilization </w:t>
      </w:r>
      <w:r>
        <w:rPr>
          <w:rFonts w:ascii="Calibri" w:hAnsi="Calibri"/>
        </w:rPr>
        <w:t>trends, and quality performance.</w:t>
      </w:r>
      <w:r w:rsidR="007E1349" w:rsidRPr="00914853">
        <w:rPr>
          <w:rFonts w:ascii="Calibri" w:hAnsi="Calibri"/>
        </w:rPr>
        <w:t xml:space="preserve"> </w:t>
      </w:r>
    </w:p>
    <w:p w14:paraId="0CACA1CA" w14:textId="77777777" w:rsidR="004056E1" w:rsidRPr="004056E1" w:rsidRDefault="004056E1" w:rsidP="007768AB">
      <w:pPr>
        <w:pStyle w:val="ListParagraph"/>
        <w:numPr>
          <w:ilvl w:val="0"/>
          <w:numId w:val="13"/>
        </w:numPr>
        <w:rPr>
          <w:b/>
          <w:bCs/>
          <w:i/>
          <w:iCs/>
          <w:color w:val="113E67"/>
        </w:rPr>
      </w:pPr>
      <w:r>
        <w:rPr>
          <w:rFonts w:ascii="Calibri" w:hAnsi="Calibri" w:cs="Calibri"/>
        </w:rPr>
        <w:t xml:space="preserve">Establishing technical </w:t>
      </w:r>
      <w:r w:rsidR="007E1349" w:rsidRPr="00914853">
        <w:rPr>
          <w:rFonts w:ascii="Calibri" w:hAnsi="Calibri" w:cs="Calibri"/>
        </w:rPr>
        <w:t xml:space="preserve">support strategies </w:t>
      </w:r>
      <w:r>
        <w:rPr>
          <w:rFonts w:ascii="Calibri" w:hAnsi="Calibri" w:cs="Calibri"/>
        </w:rPr>
        <w:t>to assist with implementation.</w:t>
      </w:r>
      <w:r w:rsidR="007E1349" w:rsidRPr="00914853">
        <w:rPr>
          <w:rFonts w:ascii="Calibri" w:hAnsi="Calibri" w:cs="Calibri"/>
        </w:rPr>
        <w:t xml:space="preserve"> </w:t>
      </w:r>
    </w:p>
    <w:p w14:paraId="2330C83A" w14:textId="0F8DBDD6" w:rsidR="007E1349" w:rsidRPr="00A43BC3" w:rsidRDefault="004056E1" w:rsidP="007768AB">
      <w:pPr>
        <w:pStyle w:val="ListParagraph"/>
        <w:numPr>
          <w:ilvl w:val="0"/>
          <w:numId w:val="13"/>
        </w:numPr>
        <w:rPr>
          <w:b/>
          <w:bCs/>
          <w:i/>
          <w:iCs/>
          <w:color w:val="113E67"/>
        </w:rPr>
      </w:pPr>
      <w:r>
        <w:rPr>
          <w:rFonts w:ascii="Calibri" w:hAnsi="Calibri" w:cs="Calibri"/>
        </w:rPr>
        <w:t>L</w:t>
      </w:r>
      <w:r w:rsidR="007E1349" w:rsidRPr="00914853">
        <w:rPr>
          <w:rFonts w:ascii="Calibri" w:hAnsi="Calibri" w:cs="Calibri"/>
        </w:rPr>
        <w:t>everaging data analytics</w:t>
      </w:r>
      <w:r w:rsidR="000552D3">
        <w:rPr>
          <w:rFonts w:ascii="Calibri" w:hAnsi="Calibri" w:cs="Calibri"/>
        </w:rPr>
        <w:t>, learning collaboration, and best practices to conduct business process reengineering</w:t>
      </w:r>
      <w:r>
        <w:rPr>
          <w:rFonts w:ascii="Calibri" w:hAnsi="Calibri" w:cs="Calibri"/>
        </w:rPr>
        <w:t xml:space="preserve"> and organizational assessment</w:t>
      </w:r>
      <w:r w:rsidR="007E1349" w:rsidRPr="00914853">
        <w:rPr>
          <w:rFonts w:ascii="Calibri" w:hAnsi="Calibri" w:cs="Calibri"/>
        </w:rPr>
        <w:t>.</w:t>
      </w:r>
    </w:p>
    <w:p w14:paraId="012EE96D" w14:textId="2865177E" w:rsidR="007E1349" w:rsidRPr="00A43BC3" w:rsidRDefault="00394DB0" w:rsidP="007E1349">
      <w:pPr>
        <w:rPr>
          <w:b/>
          <w:bCs/>
          <w:i/>
          <w:iCs/>
          <w:color w:val="113E67"/>
        </w:rPr>
      </w:pPr>
      <w:r>
        <w:rPr>
          <w:rFonts w:asciiTheme="minorHAnsi" w:hAnsiTheme="minorHAnsi" w:cstheme="minorHAnsi"/>
          <w:b/>
          <w:i/>
        </w:rPr>
        <w:t>Person – Centered Care:</w:t>
      </w:r>
      <w:r w:rsidR="007E1349" w:rsidRPr="00A43BC3">
        <w:rPr>
          <w:b/>
          <w:bCs/>
          <w:i/>
          <w:iCs/>
          <w:color w:val="113E67"/>
        </w:rPr>
        <w:t xml:space="preserve"> </w:t>
      </w:r>
    </w:p>
    <w:p w14:paraId="0B0BA50B" w14:textId="2E21D54E" w:rsidR="000552D3" w:rsidRDefault="007E1349" w:rsidP="007768AB">
      <w:pPr>
        <w:pStyle w:val="ListParagraph"/>
        <w:numPr>
          <w:ilvl w:val="0"/>
          <w:numId w:val="14"/>
        </w:numPr>
        <w:rPr>
          <w:rFonts w:ascii="Calibri" w:hAnsi="Calibri" w:cs="Calibri"/>
        </w:rPr>
      </w:pPr>
      <w:r w:rsidRPr="00914853">
        <w:rPr>
          <w:rFonts w:ascii="Calibri" w:hAnsi="Calibri" w:cs="Calibri"/>
        </w:rPr>
        <w:t xml:space="preserve">Promoting shared decision making </w:t>
      </w:r>
      <w:r w:rsidR="000552D3" w:rsidRPr="00914853">
        <w:rPr>
          <w:rFonts w:ascii="Calibri" w:hAnsi="Calibri" w:cs="Calibri"/>
        </w:rPr>
        <w:t xml:space="preserve">and requiring patients </w:t>
      </w:r>
      <w:r w:rsidR="000552D3">
        <w:rPr>
          <w:rFonts w:ascii="Calibri" w:hAnsi="Calibri" w:cs="Calibri"/>
        </w:rPr>
        <w:t>to acknowledge their important role.</w:t>
      </w:r>
    </w:p>
    <w:p w14:paraId="7FBD9D70" w14:textId="39B0B5F7" w:rsidR="007E1349" w:rsidRPr="00914853" w:rsidRDefault="000552D3" w:rsidP="007768AB">
      <w:pPr>
        <w:pStyle w:val="ListParagraph"/>
        <w:numPr>
          <w:ilvl w:val="0"/>
          <w:numId w:val="14"/>
        </w:numPr>
        <w:rPr>
          <w:rFonts w:ascii="Calibri" w:hAnsi="Calibri" w:cs="Calibri"/>
        </w:rPr>
      </w:pPr>
      <w:r>
        <w:rPr>
          <w:rFonts w:ascii="Calibri" w:hAnsi="Calibri" w:cs="Calibri"/>
        </w:rPr>
        <w:t>Promoting patient education</w:t>
      </w:r>
      <w:r w:rsidR="00DA21ED">
        <w:rPr>
          <w:rFonts w:ascii="Calibri" w:hAnsi="Calibri" w:cs="Calibri"/>
        </w:rPr>
        <w:t>, health care literacy, and directing patients toward high quality, low cost providers.</w:t>
      </w:r>
      <w:r w:rsidR="007E1349" w:rsidRPr="00914853">
        <w:rPr>
          <w:rFonts w:ascii="Calibri" w:hAnsi="Calibri" w:cs="Calibri"/>
        </w:rPr>
        <w:t xml:space="preserve"> </w:t>
      </w:r>
    </w:p>
    <w:p w14:paraId="284DBD4A" w14:textId="2E6597A4" w:rsidR="007E1349" w:rsidRPr="00914853" w:rsidRDefault="003930C6" w:rsidP="007768AB">
      <w:pPr>
        <w:pStyle w:val="ListParagraph"/>
        <w:numPr>
          <w:ilvl w:val="0"/>
          <w:numId w:val="14"/>
        </w:numPr>
        <w:rPr>
          <w:rFonts w:ascii="Calibri" w:hAnsi="Calibri" w:cs="Calibri"/>
        </w:rPr>
      </w:pPr>
      <w:r>
        <w:rPr>
          <w:rFonts w:ascii="Calibri" w:hAnsi="Calibri" w:cs="Calibri"/>
        </w:rPr>
        <w:t xml:space="preserve">Developing </w:t>
      </w:r>
      <w:r w:rsidR="007E1349" w:rsidRPr="00914853">
        <w:rPr>
          <w:rFonts w:ascii="Calibri" w:hAnsi="Calibri" w:cs="Calibri"/>
        </w:rPr>
        <w:t xml:space="preserve">payments </w:t>
      </w:r>
      <w:r>
        <w:rPr>
          <w:rFonts w:ascii="Calibri" w:hAnsi="Calibri" w:cs="Calibri"/>
        </w:rPr>
        <w:t xml:space="preserve">that recognize the added value of </w:t>
      </w:r>
      <w:r w:rsidR="007E1349" w:rsidRPr="00914853">
        <w:rPr>
          <w:rFonts w:ascii="Calibri" w:hAnsi="Calibri" w:cs="Calibri"/>
        </w:rPr>
        <w:t xml:space="preserve">care management </w:t>
      </w:r>
      <w:r>
        <w:rPr>
          <w:rFonts w:ascii="Calibri" w:hAnsi="Calibri" w:cs="Calibri"/>
        </w:rPr>
        <w:t xml:space="preserve">by </w:t>
      </w:r>
      <w:r w:rsidR="007E1349" w:rsidRPr="00914853">
        <w:rPr>
          <w:rFonts w:ascii="Calibri" w:hAnsi="Calibri" w:cs="Calibri"/>
        </w:rPr>
        <w:t xml:space="preserve">providers. </w:t>
      </w:r>
    </w:p>
    <w:p w14:paraId="4963789A" w14:textId="67AB7564" w:rsidR="007E1349" w:rsidRPr="00A43BC3" w:rsidRDefault="0002430F" w:rsidP="007768AB">
      <w:pPr>
        <w:pStyle w:val="ListParagraph"/>
        <w:numPr>
          <w:ilvl w:val="0"/>
          <w:numId w:val="14"/>
        </w:numPr>
        <w:rPr>
          <w:rFonts w:ascii="Calibri" w:hAnsi="Calibri" w:cs="Calibri"/>
        </w:rPr>
      </w:pPr>
      <w:r>
        <w:rPr>
          <w:rFonts w:ascii="Calibri" w:hAnsi="Calibri" w:cs="Calibri"/>
        </w:rPr>
        <w:t>A</w:t>
      </w:r>
      <w:r w:rsidR="007E1349" w:rsidRPr="00A43BC3">
        <w:rPr>
          <w:rFonts w:ascii="Calibri" w:hAnsi="Calibri" w:cs="Calibri"/>
        </w:rPr>
        <w:t>ddress</w:t>
      </w:r>
      <w:r>
        <w:rPr>
          <w:rFonts w:ascii="Calibri" w:hAnsi="Calibri" w:cs="Calibri"/>
        </w:rPr>
        <w:t>ing</w:t>
      </w:r>
      <w:r w:rsidR="007E1349" w:rsidRPr="00A43BC3">
        <w:rPr>
          <w:rFonts w:ascii="Calibri" w:hAnsi="Calibri" w:cs="Calibri"/>
        </w:rPr>
        <w:t xml:space="preserve"> social determinants of health</w:t>
      </w:r>
      <w:r>
        <w:rPr>
          <w:rFonts w:ascii="Calibri" w:hAnsi="Calibri" w:cs="Calibri"/>
        </w:rPr>
        <w:t xml:space="preserve"> by leveraging social workers, multidisciplinary teams, and other community resources</w:t>
      </w:r>
      <w:r w:rsidR="007E1349" w:rsidRPr="00A43BC3">
        <w:rPr>
          <w:rFonts w:ascii="Calibri" w:hAnsi="Calibri" w:cs="Calibri"/>
        </w:rPr>
        <w:t xml:space="preserve">. </w:t>
      </w:r>
    </w:p>
    <w:p w14:paraId="60DC6D63" w14:textId="014D81E0" w:rsidR="00773423" w:rsidRPr="000541C7" w:rsidRDefault="000541C7" w:rsidP="000541C7">
      <w:pPr>
        <w:rPr>
          <w:rFonts w:cs="Calibri"/>
        </w:rPr>
      </w:pPr>
      <w:r w:rsidRPr="00773423">
        <w:rPr>
          <w:rFonts w:cs="Calibri"/>
        </w:rPr>
        <w:t>For more information on the HCP-LAN Roadmap, please visit</w:t>
      </w:r>
      <w:r w:rsidR="00773423">
        <w:rPr>
          <w:rFonts w:cs="Calibri"/>
        </w:rPr>
        <w:t xml:space="preserve"> </w:t>
      </w:r>
      <w:hyperlink r:id="rId23" w:history="1">
        <w:r w:rsidR="00773423" w:rsidRPr="00573071">
          <w:rPr>
            <w:rStyle w:val="Hyperlink"/>
            <w:rFonts w:cs="Calibri"/>
          </w:rPr>
          <w:t>https://hcp-lan.org/apm-roadmap/</w:t>
        </w:r>
      </w:hyperlink>
      <w:r w:rsidR="00773423">
        <w:rPr>
          <w:rFonts w:cs="Calibri"/>
        </w:rPr>
        <w:t>.</w:t>
      </w:r>
    </w:p>
    <w:p w14:paraId="3106E177" w14:textId="77777777" w:rsidR="00273968" w:rsidRPr="000544D8" w:rsidRDefault="00273968" w:rsidP="00DB0CA3">
      <w:pPr>
        <w:pStyle w:val="BodyCambria10Black"/>
        <w:rPr>
          <w:rFonts w:asciiTheme="minorHAnsi" w:hAnsiTheme="minorHAnsi" w:cstheme="minorHAnsi"/>
          <w:b/>
          <w:sz w:val="22"/>
          <w:szCs w:val="22"/>
          <w:u w:val="single"/>
        </w:rPr>
      </w:pPr>
      <w:r w:rsidRPr="000544D8">
        <w:rPr>
          <w:rFonts w:asciiTheme="minorHAnsi" w:hAnsiTheme="minorHAnsi" w:cstheme="minorHAnsi"/>
          <w:b/>
          <w:sz w:val="22"/>
          <w:szCs w:val="22"/>
          <w:u w:val="single"/>
        </w:rPr>
        <w:t>Conclusion</w:t>
      </w:r>
    </w:p>
    <w:p w14:paraId="1D29A889" w14:textId="77777777" w:rsidR="0016797A" w:rsidRDefault="00273968" w:rsidP="00DB0CA3">
      <w:pPr>
        <w:pStyle w:val="BodyCambria10Black"/>
        <w:rPr>
          <w:rFonts w:asciiTheme="minorHAnsi" w:hAnsiTheme="minorHAnsi" w:cstheme="minorHAnsi"/>
          <w:sz w:val="22"/>
          <w:szCs w:val="22"/>
        </w:rPr>
      </w:pPr>
      <w:r w:rsidRPr="000544D8">
        <w:rPr>
          <w:rFonts w:asciiTheme="minorHAnsi" w:hAnsiTheme="minorHAnsi" w:cstheme="minorHAnsi"/>
          <w:sz w:val="22"/>
          <w:szCs w:val="22"/>
        </w:rPr>
        <w:lastRenderedPageBreak/>
        <w:t xml:space="preserve">The implementation of a VBP model for the </w:t>
      </w:r>
      <w:r w:rsidR="00C54EB7" w:rsidRPr="000544D8">
        <w:rPr>
          <w:rFonts w:asciiTheme="minorHAnsi" w:hAnsiTheme="minorHAnsi" w:cstheme="minorHAnsi"/>
          <w:sz w:val="22"/>
          <w:szCs w:val="22"/>
        </w:rPr>
        <w:t xml:space="preserve">Medicaid </w:t>
      </w:r>
      <w:r w:rsidR="0016797A">
        <w:rPr>
          <w:rFonts w:asciiTheme="minorHAnsi" w:hAnsiTheme="minorHAnsi" w:cstheme="minorHAnsi"/>
          <w:sz w:val="22"/>
          <w:szCs w:val="22"/>
        </w:rPr>
        <w:t>m</w:t>
      </w:r>
      <w:r w:rsidR="00C54EB7" w:rsidRPr="000544D8">
        <w:rPr>
          <w:rFonts w:asciiTheme="minorHAnsi" w:hAnsiTheme="minorHAnsi" w:cstheme="minorHAnsi"/>
          <w:sz w:val="22"/>
          <w:szCs w:val="22"/>
        </w:rPr>
        <w:t xml:space="preserve">anaged </w:t>
      </w:r>
      <w:r w:rsidR="0016797A">
        <w:rPr>
          <w:rFonts w:asciiTheme="minorHAnsi" w:hAnsiTheme="minorHAnsi" w:cstheme="minorHAnsi"/>
          <w:sz w:val="22"/>
          <w:szCs w:val="22"/>
        </w:rPr>
        <w:t>c</w:t>
      </w:r>
      <w:r w:rsidR="00C54EB7" w:rsidRPr="000544D8">
        <w:rPr>
          <w:rFonts w:asciiTheme="minorHAnsi" w:hAnsiTheme="minorHAnsi" w:cstheme="minorHAnsi"/>
          <w:sz w:val="22"/>
          <w:szCs w:val="22"/>
        </w:rPr>
        <w:t>are</w:t>
      </w:r>
      <w:r w:rsidRPr="000544D8">
        <w:rPr>
          <w:rFonts w:asciiTheme="minorHAnsi" w:hAnsiTheme="minorHAnsi" w:cstheme="minorHAnsi"/>
          <w:sz w:val="22"/>
          <w:szCs w:val="22"/>
        </w:rPr>
        <w:t xml:space="preserve"> program offers the state an opportunity to increase program cost effectiveness by contractually</w:t>
      </w:r>
      <w:r w:rsidR="003D184B" w:rsidRPr="000544D8">
        <w:rPr>
          <w:rFonts w:asciiTheme="minorHAnsi" w:hAnsiTheme="minorHAnsi" w:cstheme="minorHAnsi"/>
          <w:sz w:val="22"/>
          <w:szCs w:val="22"/>
        </w:rPr>
        <w:t xml:space="preserve"> and financially</w:t>
      </w:r>
      <w:r w:rsidRPr="000544D8">
        <w:rPr>
          <w:rFonts w:asciiTheme="minorHAnsi" w:hAnsiTheme="minorHAnsi" w:cstheme="minorHAnsi"/>
          <w:sz w:val="22"/>
          <w:szCs w:val="22"/>
        </w:rPr>
        <w:t xml:space="preserve"> incentivizing </w:t>
      </w:r>
      <w:r w:rsidR="00F71F86">
        <w:rPr>
          <w:rFonts w:asciiTheme="minorHAnsi" w:hAnsiTheme="minorHAnsi" w:cstheme="minorHAnsi"/>
          <w:sz w:val="22"/>
          <w:szCs w:val="22"/>
        </w:rPr>
        <w:t>MCE</w:t>
      </w:r>
      <w:r w:rsidRPr="000544D8">
        <w:rPr>
          <w:rFonts w:asciiTheme="minorHAnsi" w:hAnsiTheme="minorHAnsi" w:cstheme="minorHAnsi"/>
          <w:sz w:val="22"/>
          <w:szCs w:val="22"/>
        </w:rPr>
        <w:t xml:space="preserve">s to </w:t>
      </w:r>
      <w:r w:rsidR="003D184B" w:rsidRPr="000544D8">
        <w:rPr>
          <w:rFonts w:asciiTheme="minorHAnsi" w:hAnsiTheme="minorHAnsi" w:cstheme="minorHAnsi"/>
          <w:sz w:val="22"/>
          <w:szCs w:val="22"/>
        </w:rPr>
        <w:t>achieve desired health outcomes.</w:t>
      </w:r>
      <w:r w:rsidR="00C11575" w:rsidRPr="000544D8">
        <w:rPr>
          <w:rFonts w:asciiTheme="minorHAnsi" w:hAnsiTheme="minorHAnsi" w:cstheme="minorHAnsi"/>
          <w:sz w:val="22"/>
          <w:szCs w:val="22"/>
        </w:rPr>
        <w:t xml:space="preserve"> Consideration of the various VBP models and benefits and challenges will help inform the state of the best potential solutions. The design, development, and implementation of a VBP model can easily align with the </w:t>
      </w:r>
      <w:r w:rsidR="00A97F83" w:rsidRPr="000544D8">
        <w:rPr>
          <w:rFonts w:asciiTheme="minorHAnsi" w:hAnsiTheme="minorHAnsi" w:cstheme="minorHAnsi"/>
          <w:sz w:val="22"/>
          <w:szCs w:val="22"/>
        </w:rPr>
        <w:t>S</w:t>
      </w:r>
      <w:r w:rsidR="00C11575" w:rsidRPr="000544D8">
        <w:rPr>
          <w:rFonts w:asciiTheme="minorHAnsi" w:hAnsiTheme="minorHAnsi" w:cstheme="minorHAnsi"/>
          <w:sz w:val="22"/>
          <w:szCs w:val="22"/>
        </w:rPr>
        <w:t>tate’s current and long term pl</w:t>
      </w:r>
      <w:r w:rsidR="00F71F86">
        <w:rPr>
          <w:rFonts w:asciiTheme="minorHAnsi" w:hAnsiTheme="minorHAnsi" w:cstheme="minorHAnsi"/>
          <w:sz w:val="22"/>
          <w:szCs w:val="22"/>
        </w:rPr>
        <w:t>ans for quality measures and MCE</w:t>
      </w:r>
      <w:r w:rsidR="00C11575" w:rsidRPr="000544D8">
        <w:rPr>
          <w:rFonts w:asciiTheme="minorHAnsi" w:hAnsiTheme="minorHAnsi" w:cstheme="minorHAnsi"/>
          <w:sz w:val="22"/>
          <w:szCs w:val="22"/>
        </w:rPr>
        <w:t xml:space="preserve"> performance initiatives. </w:t>
      </w:r>
      <w:r w:rsidR="003042AF" w:rsidRPr="000544D8">
        <w:rPr>
          <w:rFonts w:asciiTheme="minorHAnsi" w:hAnsiTheme="minorHAnsi" w:cstheme="minorHAnsi"/>
          <w:sz w:val="22"/>
          <w:szCs w:val="22"/>
        </w:rPr>
        <w:t>Further, t</w:t>
      </w:r>
      <w:r w:rsidR="003D184B" w:rsidRPr="000544D8">
        <w:rPr>
          <w:rFonts w:asciiTheme="minorHAnsi" w:hAnsiTheme="minorHAnsi" w:cstheme="minorHAnsi"/>
          <w:sz w:val="22"/>
          <w:szCs w:val="22"/>
        </w:rPr>
        <w:t>here is already a great deal of federal and sta</w:t>
      </w:r>
      <w:r w:rsidR="00F71F86">
        <w:rPr>
          <w:rFonts w:asciiTheme="minorHAnsi" w:hAnsiTheme="minorHAnsi" w:cstheme="minorHAnsi"/>
          <w:sz w:val="22"/>
          <w:szCs w:val="22"/>
        </w:rPr>
        <w:t>te experience available that states</w:t>
      </w:r>
      <w:r w:rsidR="003D184B" w:rsidRPr="000544D8">
        <w:rPr>
          <w:rFonts w:asciiTheme="minorHAnsi" w:hAnsiTheme="minorHAnsi" w:cstheme="minorHAnsi"/>
          <w:sz w:val="22"/>
          <w:szCs w:val="22"/>
        </w:rPr>
        <w:t xml:space="preserve"> can draw upon in determining if and how to move forward.</w:t>
      </w:r>
    </w:p>
    <w:p w14:paraId="431D1C4C" w14:textId="77777777" w:rsidR="0016797A" w:rsidRDefault="0016797A" w:rsidP="00DB0CA3">
      <w:pPr>
        <w:pStyle w:val="BodyCambria10Black"/>
        <w:rPr>
          <w:rFonts w:asciiTheme="minorHAnsi" w:hAnsiTheme="minorHAnsi" w:cstheme="minorHAnsi"/>
          <w:sz w:val="22"/>
          <w:szCs w:val="22"/>
        </w:rPr>
      </w:pPr>
      <w:r>
        <w:rPr>
          <w:rFonts w:asciiTheme="minorHAnsi" w:hAnsiTheme="minorHAnsi" w:cstheme="minorHAnsi"/>
          <w:sz w:val="22"/>
          <w:szCs w:val="22"/>
        </w:rPr>
        <w:t>For more information, please contact:</w:t>
      </w:r>
    </w:p>
    <w:p w14:paraId="21475E05" w14:textId="77777777" w:rsidR="0016797A" w:rsidRDefault="0016797A" w:rsidP="00DB0CA3">
      <w:pPr>
        <w:pStyle w:val="BodyCambria10Black"/>
        <w:rPr>
          <w:rFonts w:asciiTheme="minorHAnsi" w:hAnsiTheme="minorHAnsi" w:cstheme="minorHAnsi"/>
          <w:sz w:val="22"/>
          <w:szCs w:val="22"/>
        </w:rPr>
      </w:pPr>
    </w:p>
    <w:p w14:paraId="70044D0C" w14:textId="49EE99E4" w:rsidR="00273968" w:rsidRPr="0016797A" w:rsidRDefault="0016797A" w:rsidP="00DB0CA3">
      <w:pPr>
        <w:pStyle w:val="BodyCambria10Black"/>
        <w:rPr>
          <w:rFonts w:asciiTheme="minorHAnsi" w:hAnsiTheme="minorHAnsi" w:cstheme="minorHAnsi"/>
          <w:sz w:val="22"/>
          <w:szCs w:val="22"/>
          <w:u w:val="single"/>
        </w:rPr>
      </w:pPr>
      <w:r w:rsidRPr="0016797A">
        <w:rPr>
          <w:rFonts w:asciiTheme="minorHAnsi" w:hAnsiTheme="minorHAnsi" w:cstheme="minorHAnsi"/>
          <w:sz w:val="22"/>
          <w:szCs w:val="22"/>
          <w:u w:val="single"/>
        </w:rPr>
        <w:t>References</w:t>
      </w:r>
      <w:r w:rsidR="003D184B" w:rsidRPr="0016797A">
        <w:rPr>
          <w:rFonts w:asciiTheme="minorHAnsi" w:hAnsiTheme="minorHAnsi" w:cstheme="minorHAnsi"/>
          <w:sz w:val="22"/>
          <w:szCs w:val="22"/>
          <w:u w:val="single"/>
        </w:rPr>
        <w:t xml:space="preserve"> </w:t>
      </w:r>
    </w:p>
    <w:sectPr w:rsidR="00273968" w:rsidRPr="0016797A" w:rsidSect="00C709E5">
      <w:headerReference w:type="default" r:id="rId24"/>
      <w:footerReference w:type="default" r:id="rId25"/>
      <w:footnotePr>
        <w:numFmt w:val="lowerRoman"/>
        <w:numStart w:val="7"/>
      </w:footnotePr>
      <w:type w:val="continuous"/>
      <w:pgSz w:w="12240" w:h="15840"/>
      <w:pgMar w:top="2304" w:right="1440" w:bottom="1584" w:left="1728" w:header="720" w:footer="12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328FC" w14:textId="77777777" w:rsidR="007255FF" w:rsidRDefault="007255FF" w:rsidP="00FD0143">
      <w:pPr>
        <w:spacing w:after="0" w:line="240" w:lineRule="auto"/>
      </w:pPr>
      <w:r>
        <w:separator/>
      </w:r>
    </w:p>
  </w:endnote>
  <w:endnote w:type="continuationSeparator" w:id="0">
    <w:p w14:paraId="6A0E306E" w14:textId="77777777" w:rsidR="007255FF" w:rsidRDefault="007255FF" w:rsidP="00FD0143">
      <w:pPr>
        <w:spacing w:after="0" w:line="240" w:lineRule="auto"/>
      </w:pPr>
      <w:r>
        <w:continuationSeparator/>
      </w:r>
    </w:p>
  </w:endnote>
  <w:endnote w:id="1">
    <w:p w14:paraId="1C1E383E" w14:textId="1DA875BB" w:rsidR="005074DF" w:rsidRDefault="005074DF">
      <w:pPr>
        <w:pStyle w:val="EndnoteText"/>
      </w:pPr>
      <w:r>
        <w:rPr>
          <w:rStyle w:val="EndnoteReference"/>
        </w:rPr>
        <w:endnoteRef/>
      </w:r>
      <w:r>
        <w:t xml:space="preserve"> Baillit Health and the National Association of Medicaid Directors.  The Role of State Medicaid Programs in Improving the Value of the Health Care System.  March 22, 2016</w:t>
      </w:r>
    </w:p>
  </w:endnote>
  <w:endnote w:id="2">
    <w:p w14:paraId="0BF90250" w14:textId="77777777" w:rsidR="00836B86" w:rsidRDefault="00836B86" w:rsidP="00836B86">
      <w:pPr>
        <w:pStyle w:val="EndnoteText"/>
      </w:pPr>
      <w:r>
        <w:rPr>
          <w:rStyle w:val="EndnoteReference"/>
        </w:rPr>
        <w:endnoteRef/>
      </w:r>
      <w:r>
        <w:t xml:space="preserve"> National Association of Medicaid Directors. Value-Based Purchasing Snapshot.  January 2017.</w:t>
      </w:r>
    </w:p>
  </w:endnote>
  <w:endnote w:id="3">
    <w:p w14:paraId="6ADA721B" w14:textId="77777777" w:rsidR="00E25B8F" w:rsidRDefault="00E25B8F">
      <w:pPr>
        <w:pStyle w:val="EndnoteText"/>
      </w:pPr>
      <w:r>
        <w:rPr>
          <w:rStyle w:val="EndnoteReference"/>
        </w:rPr>
        <w:endnoteRef/>
      </w:r>
      <w:r>
        <w:t xml:space="preserve"> </w:t>
      </w:r>
      <w:r w:rsidR="006E0074">
        <w:t>Baillit Health and the National Association of Medicaid Directors.  The Role of State Medicaid Programs in Improving the Value of the Health Care System.  March 22, 2016.</w:t>
      </w:r>
    </w:p>
  </w:endnote>
  <w:endnote w:id="4">
    <w:p w14:paraId="595854BE" w14:textId="77777777" w:rsidR="000316FF" w:rsidRDefault="000316FF">
      <w:pPr>
        <w:pStyle w:val="EndnoteText"/>
      </w:pPr>
      <w:r>
        <w:rPr>
          <w:rStyle w:val="EndnoteReference"/>
        </w:rPr>
        <w:endnoteRef/>
      </w:r>
      <w:r>
        <w:t xml:space="preserve"> National Association of Medicaid Directors. Value-Based Purchasing in Medicare and Medicaid: Areas of Intersection and Opportunities for Future Alignment.  June 2016.</w:t>
      </w:r>
    </w:p>
  </w:endnote>
  <w:endnote w:id="5">
    <w:p w14:paraId="2CB7DC42" w14:textId="77777777" w:rsidR="007B2F63" w:rsidRDefault="007B2F63">
      <w:pPr>
        <w:pStyle w:val="EndnoteText"/>
      </w:pPr>
      <w:r>
        <w:rPr>
          <w:rStyle w:val="EndnoteReference"/>
        </w:rPr>
        <w:endnoteRef/>
      </w:r>
      <w:r>
        <w:t xml:space="preserve"> Tricia Leddy, Tricia McGinnis, and Greg Howe, Center for Health Care Strategies. Value Based Payment in Medicaid Managed Care:  An Overview of State Approaches.  February 2016.</w:t>
      </w:r>
    </w:p>
  </w:endnote>
  <w:endnote w:id="6">
    <w:p w14:paraId="2489A4A6" w14:textId="77777777" w:rsidR="00AC1924" w:rsidRDefault="00C97A5F">
      <w:pPr>
        <w:pStyle w:val="EndnoteText"/>
        <w:rPr>
          <w:rStyle w:val="Hyperlink"/>
        </w:rPr>
      </w:pPr>
      <w:r>
        <w:rPr>
          <w:rStyle w:val="EndnoteReference"/>
        </w:rPr>
        <w:endnoteRef/>
      </w:r>
      <w:r>
        <w:t xml:space="preserve"> Centers for Medicare and Medicaid Services at </w:t>
      </w:r>
      <w:hyperlink r:id="rId1" w:history="1">
        <w:r w:rsidRPr="003459EB">
          <w:rPr>
            <w:rStyle w:val="Hyperlink"/>
          </w:rPr>
          <w:t>https://innovation.cms.gov/initiatives/Comprehensive-Primary-Care-Plus</w:t>
        </w:r>
      </w:hyperlink>
    </w:p>
    <w:p w14:paraId="03D6D9C1" w14:textId="47A62568" w:rsidR="00277152" w:rsidRPr="00F10B23" w:rsidRDefault="00277152" w:rsidP="007768AB">
      <w:pPr>
        <w:pStyle w:val="EndnoteText"/>
        <w:numPr>
          <w:ilvl w:val="0"/>
          <w:numId w:val="10"/>
        </w:numPr>
        <w:ind w:left="90" w:hanging="90"/>
      </w:pPr>
      <w:r w:rsidRPr="000544D8">
        <w:rPr>
          <w:rFonts w:cstheme="minorHAnsi"/>
          <w:smallCaps/>
        </w:rPr>
        <w:t>Kaiser Family Found., Proposed Changes to “Public Charge” Policies for Immigrants: Implications for Health Coverage</w:t>
      </w:r>
      <w:r w:rsidRPr="000544D8">
        <w:rPr>
          <w:rFonts w:cstheme="minorHAnsi"/>
        </w:rPr>
        <w:t xml:space="preserve"> (Sept. 2018), </w:t>
      </w:r>
      <w:hyperlink r:id="rId2" w:history="1">
        <w:r w:rsidR="00F10B23" w:rsidRPr="0006386F">
          <w:rPr>
            <w:rStyle w:val="Hyperlink"/>
            <w:rFonts w:cstheme="minorHAnsi"/>
          </w:rPr>
          <w:t>https://www.kff.org/disparities-policy/fact-sheet/proposed-changes-to-public-charge-policies-for-immigrants-implications-for-health-coverage/</w:t>
        </w:r>
      </w:hyperlink>
      <w:r w:rsidRPr="000544D8">
        <w:rPr>
          <w:rFonts w:cstheme="minorHAnsi"/>
        </w:rPr>
        <w:t>.</w:t>
      </w:r>
    </w:p>
    <w:p w14:paraId="6093E7F2" w14:textId="2294B7F2" w:rsidR="00F10B23" w:rsidRPr="00676CF0" w:rsidRDefault="00F10B23" w:rsidP="007768AB">
      <w:pPr>
        <w:pStyle w:val="EndnoteText"/>
        <w:numPr>
          <w:ilvl w:val="0"/>
          <w:numId w:val="10"/>
        </w:numPr>
        <w:ind w:left="90" w:hanging="90"/>
      </w:pPr>
      <w:r>
        <w:rPr>
          <w:rFonts w:cstheme="minorHAnsi"/>
        </w:rPr>
        <w:t xml:space="preserve">Health Care Payment Learning &amp; Action Network, Roadmap for Driving High Performance in Alternative Payment Models (April 2019), </w:t>
      </w:r>
      <w:hyperlink r:id="rId3" w:history="1">
        <w:r w:rsidR="00676CF0" w:rsidRPr="0006386F">
          <w:rPr>
            <w:rStyle w:val="Hyperlink"/>
            <w:rFonts w:cstheme="minorHAnsi"/>
          </w:rPr>
          <w:t>https://hcp-lan.org/apm-roadmap/</w:t>
        </w:r>
      </w:hyperlink>
      <w:r w:rsidR="00676CF0">
        <w:rPr>
          <w:rFonts w:cstheme="minorHAnsi"/>
        </w:rPr>
        <w:t>.</w:t>
      </w:r>
    </w:p>
    <w:p w14:paraId="7B7572C8" w14:textId="77777777" w:rsidR="00676CF0" w:rsidRDefault="00676CF0" w:rsidP="00676CF0">
      <w:pPr>
        <w:pStyle w:val="EndnoteText"/>
        <w:ind w:left="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Lato">
    <w:altName w:val="Lat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1C092" w14:textId="77777777" w:rsidR="00903A07" w:rsidRPr="00B55740" w:rsidRDefault="00903A07" w:rsidP="00B55740">
    <w:pPr>
      <w:pStyle w:val="Footer"/>
      <w:tabs>
        <w:tab w:val="clear" w:pos="4680"/>
        <w:tab w:val="clear" w:pos="9360"/>
      </w:tabs>
      <w:ind w:right="-547"/>
      <w:rPr>
        <w:rFonts w:ascii="Arial" w:hAnsi="Arial" w:cs="Arial"/>
        <w:sz w:val="18"/>
        <w:szCs w:val="18"/>
      </w:rPr>
    </w:pPr>
    <w:r>
      <w:rPr>
        <w:noProof/>
      </w:rPr>
      <w:drawing>
        <wp:anchor distT="0" distB="0" distL="114300" distR="114300" simplePos="0" relativeHeight="251664384" behindDoc="1" locked="1" layoutInCell="0" allowOverlap="1" wp14:anchorId="1A46B14C" wp14:editId="250C70AD">
          <wp:simplePos x="0" y="0"/>
          <wp:positionH relativeFrom="page">
            <wp:posOffset>1196975</wp:posOffset>
          </wp:positionH>
          <wp:positionV relativeFrom="page">
            <wp:posOffset>9243060</wp:posOffset>
          </wp:positionV>
          <wp:extent cx="2569210" cy="75565"/>
          <wp:effectExtent l="0" t="0" r="2540" b="635"/>
          <wp:wrapThrough wrapText="bothSides">
            <wp:wrapPolygon edited="0">
              <wp:start x="0" y="0"/>
              <wp:lineTo x="0" y="16336"/>
              <wp:lineTo x="21461" y="16336"/>
              <wp:lineTo x="21461" y="0"/>
              <wp:lineTo x="0" y="0"/>
            </wp:wrapPolygon>
          </wp:wrapThrough>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210" cy="75565"/>
                  </a:xfrm>
                  <a:prstGeom prst="rect">
                    <a:avLst/>
                  </a:prstGeom>
                  <a:noFill/>
                </pic:spPr>
              </pic:pic>
            </a:graphicData>
          </a:graphic>
          <wp14:sizeRelH relativeFrom="page">
            <wp14:pctWidth>0</wp14:pctWidth>
          </wp14:sizeRelH>
          <wp14:sizeRelV relativeFrom="page">
            <wp14:pctHeight>0</wp14:pctHeight>
          </wp14:sizeRelV>
        </wp:anchor>
      </w:drawing>
    </w:r>
    <w:r>
      <w:tab/>
    </w:r>
    <w:r>
      <w:rPr>
        <w:noProof/>
      </w:rPr>
      <w:drawing>
        <wp:anchor distT="0" distB="0" distL="114300" distR="114300" simplePos="0" relativeHeight="251665408" behindDoc="1" locked="1" layoutInCell="0" allowOverlap="1" wp14:anchorId="694B5BEF" wp14:editId="0B12DDC8">
          <wp:simplePos x="0" y="0"/>
          <wp:positionH relativeFrom="page">
            <wp:posOffset>3886200</wp:posOffset>
          </wp:positionH>
          <wp:positionV relativeFrom="page">
            <wp:posOffset>9217025</wp:posOffset>
          </wp:positionV>
          <wp:extent cx="3228975" cy="476250"/>
          <wp:effectExtent l="0" t="0" r="9525" b="0"/>
          <wp:wrapThrough wrapText="bothSides">
            <wp:wrapPolygon edited="0">
              <wp:start x="0" y="0"/>
              <wp:lineTo x="0" y="20736"/>
              <wp:lineTo x="21536" y="20736"/>
              <wp:lineTo x="21536" y="0"/>
              <wp:lineTo x="0" y="0"/>
            </wp:wrapPolygon>
          </wp:wrapThrough>
          <wp:docPr id="10" name="Picture 10" descr="G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8975" cy="4762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69190" w14:textId="0FD4F6DF" w:rsidR="00FD0143" w:rsidRPr="00B55740" w:rsidRDefault="00935C45" w:rsidP="00B55740">
    <w:pPr>
      <w:pStyle w:val="Footer"/>
      <w:tabs>
        <w:tab w:val="clear" w:pos="4680"/>
        <w:tab w:val="clear" w:pos="9360"/>
      </w:tabs>
      <w:ind w:right="-547"/>
      <w:rPr>
        <w:rFonts w:ascii="Arial" w:hAnsi="Arial" w:cs="Arial"/>
        <w:sz w:val="18"/>
        <w:szCs w:val="18"/>
      </w:rPr>
    </w:pPr>
    <w:r>
      <w:rPr>
        <w:noProof/>
      </w:rPr>
      <w:drawing>
        <wp:anchor distT="0" distB="0" distL="114300" distR="114300" simplePos="0" relativeHeight="251657728" behindDoc="1" locked="1" layoutInCell="0" allowOverlap="1" wp14:anchorId="212E27B6" wp14:editId="02B62DBD">
          <wp:simplePos x="0" y="0"/>
          <wp:positionH relativeFrom="page">
            <wp:posOffset>1196975</wp:posOffset>
          </wp:positionH>
          <wp:positionV relativeFrom="page">
            <wp:posOffset>9243060</wp:posOffset>
          </wp:positionV>
          <wp:extent cx="2569210" cy="75565"/>
          <wp:effectExtent l="0" t="0" r="2540" b="635"/>
          <wp:wrapThrough wrapText="bothSides">
            <wp:wrapPolygon edited="0">
              <wp:start x="0" y="0"/>
              <wp:lineTo x="0" y="16336"/>
              <wp:lineTo x="21461" y="16336"/>
              <wp:lineTo x="21461" y="0"/>
              <wp:lineTo x="0" y="0"/>
            </wp:wrapPolygon>
          </wp:wrapThrough>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210" cy="75565"/>
                  </a:xfrm>
                  <a:prstGeom prst="rect">
                    <a:avLst/>
                  </a:prstGeom>
                  <a:noFill/>
                </pic:spPr>
              </pic:pic>
            </a:graphicData>
          </a:graphic>
          <wp14:sizeRelH relativeFrom="page">
            <wp14:pctWidth>0</wp14:pctWidth>
          </wp14:sizeRelH>
          <wp14:sizeRelV relativeFrom="page">
            <wp14:pctHeight>0</wp14:pctHeight>
          </wp14:sizeRelV>
        </wp:anchor>
      </w:drawing>
    </w:r>
    <w:r w:rsidR="00FD0143">
      <w:tab/>
    </w:r>
    <w:r>
      <w:rPr>
        <w:noProof/>
      </w:rPr>
      <w:drawing>
        <wp:anchor distT="0" distB="0" distL="114300" distR="114300" simplePos="0" relativeHeight="251660288" behindDoc="1" locked="1" layoutInCell="0" allowOverlap="1" wp14:anchorId="22055D1D" wp14:editId="42D1F6E2">
          <wp:simplePos x="0" y="0"/>
          <wp:positionH relativeFrom="page">
            <wp:posOffset>3886200</wp:posOffset>
          </wp:positionH>
          <wp:positionV relativeFrom="page">
            <wp:posOffset>9217025</wp:posOffset>
          </wp:positionV>
          <wp:extent cx="3228975" cy="476250"/>
          <wp:effectExtent l="0" t="0" r="9525" b="0"/>
          <wp:wrapThrough wrapText="bothSides">
            <wp:wrapPolygon edited="0">
              <wp:start x="0" y="0"/>
              <wp:lineTo x="0" y="20736"/>
              <wp:lineTo x="21536" y="20736"/>
              <wp:lineTo x="21536" y="0"/>
              <wp:lineTo x="0" y="0"/>
            </wp:wrapPolygon>
          </wp:wrapThrough>
          <wp:docPr id="3" name="Picture 3" descr="G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8975" cy="4762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0D52B" w14:textId="77777777" w:rsidR="007255FF" w:rsidRDefault="007255FF" w:rsidP="00FD0143">
      <w:pPr>
        <w:spacing w:after="0" w:line="240" w:lineRule="auto"/>
      </w:pPr>
      <w:r>
        <w:separator/>
      </w:r>
    </w:p>
  </w:footnote>
  <w:footnote w:type="continuationSeparator" w:id="0">
    <w:p w14:paraId="4FD292D7" w14:textId="77777777" w:rsidR="007255FF" w:rsidRDefault="007255FF" w:rsidP="00FD0143">
      <w:pPr>
        <w:spacing w:after="0" w:line="240" w:lineRule="auto"/>
      </w:pPr>
      <w:r>
        <w:continuationSeparator/>
      </w:r>
    </w:p>
  </w:footnote>
  <w:footnote w:id="1">
    <w:p w14:paraId="5414D1D8" w14:textId="77777777" w:rsidR="004F3688" w:rsidRDefault="004F3688" w:rsidP="004F3688">
      <w:pPr>
        <w:pStyle w:val="FootnoteText"/>
      </w:pPr>
      <w:r>
        <w:rPr>
          <w:rStyle w:val="FootnoteReference"/>
        </w:rPr>
        <w:footnoteRef/>
      </w:r>
      <w:r>
        <w:t xml:space="preserve"> Managed care entity, managed care organization, care management organization, and coordinated care organization are terms often used by states to describe Medicaid managed care health plans.    Unless referring a specific state or model, the term managed care entity (MCE) is used in this document.</w:t>
      </w:r>
    </w:p>
  </w:footnote>
  <w:footnote w:id="2">
    <w:p w14:paraId="12A2A75C" w14:textId="770CA765" w:rsidR="00672337" w:rsidRDefault="00672337">
      <w:pPr>
        <w:pStyle w:val="FootnoteText"/>
      </w:pPr>
      <w:r>
        <w:rPr>
          <w:rStyle w:val="FootnoteReference"/>
        </w:rPr>
        <w:footnoteRef/>
      </w:r>
      <w:r>
        <w:t xml:space="preserve"> </w:t>
      </w:r>
      <w:r w:rsidR="005074DF">
        <w:t xml:space="preserve">The approaches used in VBP models are often referred to as alternative payment models (APM).  These terms can sometimes be used interchangeably.  </w:t>
      </w:r>
      <w:r w:rsidR="00855AEF">
        <w:t>This briefing document refers to all approaches as VBP models.</w:t>
      </w:r>
    </w:p>
  </w:footnote>
  <w:footnote w:id="3">
    <w:p w14:paraId="3ED8B13D" w14:textId="77777777" w:rsidR="003007C2" w:rsidRPr="000544D8" w:rsidRDefault="003007C2" w:rsidP="003007C2">
      <w:pPr>
        <w:rPr>
          <w:rFonts w:asciiTheme="minorHAnsi" w:eastAsia="Times New Roman" w:hAnsiTheme="minorHAnsi" w:cstheme="minorHAnsi"/>
          <w:sz w:val="20"/>
          <w:szCs w:val="20"/>
        </w:rPr>
      </w:pPr>
      <w:r w:rsidRPr="000544D8">
        <w:rPr>
          <w:rStyle w:val="FootnoteReference"/>
          <w:rFonts w:asciiTheme="minorHAnsi" w:hAnsiTheme="minorHAnsi" w:cstheme="minorHAnsi"/>
          <w:sz w:val="20"/>
          <w:szCs w:val="20"/>
        </w:rPr>
        <w:footnoteRef/>
      </w:r>
      <w:r w:rsidRPr="000544D8">
        <w:rPr>
          <w:rFonts w:asciiTheme="minorHAnsi" w:hAnsiTheme="minorHAnsi" w:cstheme="minorHAnsi"/>
          <w:sz w:val="20"/>
          <w:szCs w:val="20"/>
        </w:rPr>
        <w:t xml:space="preserve"> </w:t>
      </w:r>
      <w:r w:rsidRPr="000544D8">
        <w:rPr>
          <w:rFonts w:asciiTheme="minorHAnsi" w:hAnsiTheme="minorHAnsi" w:cstheme="minorHAnsi"/>
          <w:smallCaps/>
          <w:sz w:val="20"/>
          <w:szCs w:val="20"/>
        </w:rPr>
        <w:t>Health Mgmt. Assocs. &amp; Kaiser Family Found., States Focus on Quality and Outcomes Amid Waiver Changes</w:t>
      </w:r>
      <w:r w:rsidRPr="000544D8">
        <w:rPr>
          <w:rFonts w:asciiTheme="minorHAnsi" w:hAnsiTheme="minorHAnsi" w:cstheme="minorHAnsi"/>
          <w:sz w:val="20"/>
          <w:szCs w:val="20"/>
        </w:rPr>
        <w:t xml:space="preserve"> 81</w:t>
      </w:r>
      <w:r w:rsidRPr="000544D8">
        <w:rPr>
          <w:rFonts w:asciiTheme="minorHAnsi" w:eastAsia="Times New Roman" w:hAnsiTheme="minorHAnsi" w:cstheme="minorHAnsi"/>
          <w:sz w:val="20"/>
          <w:szCs w:val="20"/>
          <w:shd w:val="clear" w:color="auto" w:fill="FFFFFF"/>
        </w:rPr>
        <w:t>–82 (Oct. 2018),</w:t>
      </w:r>
      <w:r w:rsidRPr="000544D8">
        <w:rPr>
          <w:rFonts w:asciiTheme="minorHAnsi" w:hAnsiTheme="minorHAnsi" w:cstheme="minorHAnsi"/>
          <w:sz w:val="20"/>
          <w:szCs w:val="20"/>
        </w:rPr>
        <w:t xml:space="preserve"> </w:t>
      </w:r>
      <w:hyperlink r:id="rId1" w:history="1">
        <w:r w:rsidRPr="000544D8">
          <w:rPr>
            <w:rStyle w:val="Hyperlink"/>
            <w:rFonts w:asciiTheme="minorHAnsi" w:hAnsiTheme="minorHAnsi" w:cstheme="minorHAnsi"/>
            <w:color w:val="auto"/>
            <w:sz w:val="20"/>
            <w:szCs w:val="20"/>
          </w:rPr>
          <w:t>https://www.healthmanagement.com/wp-content/uploads/Report-States-Focus-on-Quality-and-Outcomes-Amid-Waiver-Changes-Results-from-a-50-State-Medicaid-Budget-Survey-for-State-Fiscal-Years-2018-and-2019.pdf</w:t>
        </w:r>
      </w:hyperlink>
      <w:r w:rsidRPr="000544D8">
        <w:rPr>
          <w:rFonts w:asciiTheme="minorHAnsi" w:hAnsiTheme="minorHAnsi" w:cstheme="minorHAnsi"/>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01259" w14:textId="77777777" w:rsidR="00903A07" w:rsidRDefault="00903A07">
    <w:pPr>
      <w:pStyle w:val="Header"/>
    </w:pPr>
    <w:r>
      <w:rPr>
        <w:noProof/>
      </w:rPr>
      <w:drawing>
        <wp:anchor distT="0" distB="0" distL="114300" distR="114300" simplePos="0" relativeHeight="251666432" behindDoc="1" locked="1" layoutInCell="0" allowOverlap="1" wp14:anchorId="38FF56C1" wp14:editId="36B00899">
          <wp:simplePos x="0" y="0"/>
          <wp:positionH relativeFrom="page">
            <wp:posOffset>408940</wp:posOffset>
          </wp:positionH>
          <wp:positionV relativeFrom="page">
            <wp:posOffset>419100</wp:posOffset>
          </wp:positionV>
          <wp:extent cx="3050540" cy="7429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054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8B5AD" w14:textId="77777777" w:rsidR="00FD0143" w:rsidRDefault="00935C45">
    <w:pPr>
      <w:pStyle w:val="Header"/>
    </w:pPr>
    <w:r>
      <w:rPr>
        <w:noProof/>
      </w:rPr>
      <w:drawing>
        <wp:anchor distT="0" distB="0" distL="114300" distR="114300" simplePos="0" relativeHeight="251662336" behindDoc="1" locked="1" layoutInCell="0" allowOverlap="1" wp14:anchorId="68709B9C" wp14:editId="430E931A">
          <wp:simplePos x="0" y="0"/>
          <wp:positionH relativeFrom="page">
            <wp:posOffset>408940</wp:posOffset>
          </wp:positionH>
          <wp:positionV relativeFrom="page">
            <wp:posOffset>419100</wp:posOffset>
          </wp:positionV>
          <wp:extent cx="3050540"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054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75pt;height:6.75pt" o:bullet="t">
        <v:imagedata r:id="rId1" o:title="MLSCBullet"/>
      </v:shape>
    </w:pict>
  </w:numPicBullet>
  <w:abstractNum w:abstractNumId="0" w15:restartNumberingAfterBreak="0">
    <w:nsid w:val="0F0569FB"/>
    <w:multiLevelType w:val="hybridMultilevel"/>
    <w:tmpl w:val="199247C6"/>
    <w:lvl w:ilvl="0" w:tplc="04090005">
      <w:start w:val="1"/>
      <w:numFmt w:val="bullet"/>
      <w:lvlText w:val=""/>
      <w:lvlJc w:val="left"/>
      <w:pPr>
        <w:tabs>
          <w:tab w:val="num" w:pos="720"/>
        </w:tabs>
        <w:ind w:left="720" w:hanging="360"/>
      </w:pPr>
      <w:rPr>
        <w:rFonts w:ascii="Wingdings" w:hAnsi="Wingdings" w:hint="default"/>
      </w:rPr>
    </w:lvl>
    <w:lvl w:ilvl="1" w:tplc="E7740C94" w:tentative="1">
      <w:start w:val="1"/>
      <w:numFmt w:val="bullet"/>
      <w:lvlText w:val="•"/>
      <w:lvlJc w:val="left"/>
      <w:pPr>
        <w:tabs>
          <w:tab w:val="num" w:pos="1440"/>
        </w:tabs>
        <w:ind w:left="1440" w:hanging="360"/>
      </w:pPr>
      <w:rPr>
        <w:rFonts w:ascii="Arial" w:hAnsi="Arial" w:hint="default"/>
      </w:rPr>
    </w:lvl>
    <w:lvl w:ilvl="2" w:tplc="05D2A71C" w:tentative="1">
      <w:start w:val="1"/>
      <w:numFmt w:val="bullet"/>
      <w:lvlText w:val="•"/>
      <w:lvlJc w:val="left"/>
      <w:pPr>
        <w:tabs>
          <w:tab w:val="num" w:pos="2160"/>
        </w:tabs>
        <w:ind w:left="2160" w:hanging="360"/>
      </w:pPr>
      <w:rPr>
        <w:rFonts w:ascii="Arial" w:hAnsi="Arial" w:hint="default"/>
      </w:rPr>
    </w:lvl>
    <w:lvl w:ilvl="3" w:tplc="7F3A5E7E" w:tentative="1">
      <w:start w:val="1"/>
      <w:numFmt w:val="bullet"/>
      <w:lvlText w:val="•"/>
      <w:lvlJc w:val="left"/>
      <w:pPr>
        <w:tabs>
          <w:tab w:val="num" w:pos="2880"/>
        </w:tabs>
        <w:ind w:left="2880" w:hanging="360"/>
      </w:pPr>
      <w:rPr>
        <w:rFonts w:ascii="Arial" w:hAnsi="Arial" w:hint="default"/>
      </w:rPr>
    </w:lvl>
    <w:lvl w:ilvl="4" w:tplc="8AC8C12A" w:tentative="1">
      <w:start w:val="1"/>
      <w:numFmt w:val="bullet"/>
      <w:lvlText w:val="•"/>
      <w:lvlJc w:val="left"/>
      <w:pPr>
        <w:tabs>
          <w:tab w:val="num" w:pos="3600"/>
        </w:tabs>
        <w:ind w:left="3600" w:hanging="360"/>
      </w:pPr>
      <w:rPr>
        <w:rFonts w:ascii="Arial" w:hAnsi="Arial" w:hint="default"/>
      </w:rPr>
    </w:lvl>
    <w:lvl w:ilvl="5" w:tplc="FF1C9690" w:tentative="1">
      <w:start w:val="1"/>
      <w:numFmt w:val="bullet"/>
      <w:lvlText w:val="•"/>
      <w:lvlJc w:val="left"/>
      <w:pPr>
        <w:tabs>
          <w:tab w:val="num" w:pos="4320"/>
        </w:tabs>
        <w:ind w:left="4320" w:hanging="360"/>
      </w:pPr>
      <w:rPr>
        <w:rFonts w:ascii="Arial" w:hAnsi="Arial" w:hint="default"/>
      </w:rPr>
    </w:lvl>
    <w:lvl w:ilvl="6" w:tplc="B2283BC2" w:tentative="1">
      <w:start w:val="1"/>
      <w:numFmt w:val="bullet"/>
      <w:lvlText w:val="•"/>
      <w:lvlJc w:val="left"/>
      <w:pPr>
        <w:tabs>
          <w:tab w:val="num" w:pos="5040"/>
        </w:tabs>
        <w:ind w:left="5040" w:hanging="360"/>
      </w:pPr>
      <w:rPr>
        <w:rFonts w:ascii="Arial" w:hAnsi="Arial" w:hint="default"/>
      </w:rPr>
    </w:lvl>
    <w:lvl w:ilvl="7" w:tplc="D7E60D70" w:tentative="1">
      <w:start w:val="1"/>
      <w:numFmt w:val="bullet"/>
      <w:lvlText w:val="•"/>
      <w:lvlJc w:val="left"/>
      <w:pPr>
        <w:tabs>
          <w:tab w:val="num" w:pos="5760"/>
        </w:tabs>
        <w:ind w:left="5760" w:hanging="360"/>
      </w:pPr>
      <w:rPr>
        <w:rFonts w:ascii="Arial" w:hAnsi="Arial" w:hint="default"/>
      </w:rPr>
    </w:lvl>
    <w:lvl w:ilvl="8" w:tplc="E79275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6A2F9F"/>
    <w:multiLevelType w:val="hybridMultilevel"/>
    <w:tmpl w:val="C206D118"/>
    <w:lvl w:ilvl="0" w:tplc="FB988D04">
      <w:start w:val="1"/>
      <w:numFmt w:val="bullet"/>
      <w:pStyle w:val="TOC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4B67F6"/>
    <w:multiLevelType w:val="hybridMultilevel"/>
    <w:tmpl w:val="18525A22"/>
    <w:lvl w:ilvl="0" w:tplc="04090005">
      <w:start w:val="1"/>
      <w:numFmt w:val="bullet"/>
      <w:lvlText w:val=""/>
      <w:lvlJc w:val="left"/>
      <w:pPr>
        <w:tabs>
          <w:tab w:val="num" w:pos="720"/>
        </w:tabs>
        <w:ind w:left="720" w:hanging="360"/>
      </w:pPr>
      <w:rPr>
        <w:rFonts w:ascii="Wingdings" w:hAnsi="Wingdings" w:hint="default"/>
      </w:rPr>
    </w:lvl>
    <w:lvl w:ilvl="1" w:tplc="668ED7C6" w:tentative="1">
      <w:start w:val="1"/>
      <w:numFmt w:val="bullet"/>
      <w:lvlText w:val="•"/>
      <w:lvlJc w:val="left"/>
      <w:pPr>
        <w:tabs>
          <w:tab w:val="num" w:pos="1440"/>
        </w:tabs>
        <w:ind w:left="1440" w:hanging="360"/>
      </w:pPr>
      <w:rPr>
        <w:rFonts w:ascii="Arial" w:hAnsi="Arial" w:hint="default"/>
      </w:rPr>
    </w:lvl>
    <w:lvl w:ilvl="2" w:tplc="5860E490" w:tentative="1">
      <w:start w:val="1"/>
      <w:numFmt w:val="bullet"/>
      <w:lvlText w:val="•"/>
      <w:lvlJc w:val="left"/>
      <w:pPr>
        <w:tabs>
          <w:tab w:val="num" w:pos="2160"/>
        </w:tabs>
        <w:ind w:left="2160" w:hanging="360"/>
      </w:pPr>
      <w:rPr>
        <w:rFonts w:ascii="Arial" w:hAnsi="Arial" w:hint="default"/>
      </w:rPr>
    </w:lvl>
    <w:lvl w:ilvl="3" w:tplc="ECBA18CE" w:tentative="1">
      <w:start w:val="1"/>
      <w:numFmt w:val="bullet"/>
      <w:lvlText w:val="•"/>
      <w:lvlJc w:val="left"/>
      <w:pPr>
        <w:tabs>
          <w:tab w:val="num" w:pos="2880"/>
        </w:tabs>
        <w:ind w:left="2880" w:hanging="360"/>
      </w:pPr>
      <w:rPr>
        <w:rFonts w:ascii="Arial" w:hAnsi="Arial" w:hint="default"/>
      </w:rPr>
    </w:lvl>
    <w:lvl w:ilvl="4" w:tplc="0756ACF0" w:tentative="1">
      <w:start w:val="1"/>
      <w:numFmt w:val="bullet"/>
      <w:lvlText w:val="•"/>
      <w:lvlJc w:val="left"/>
      <w:pPr>
        <w:tabs>
          <w:tab w:val="num" w:pos="3600"/>
        </w:tabs>
        <w:ind w:left="3600" w:hanging="360"/>
      </w:pPr>
      <w:rPr>
        <w:rFonts w:ascii="Arial" w:hAnsi="Arial" w:hint="default"/>
      </w:rPr>
    </w:lvl>
    <w:lvl w:ilvl="5" w:tplc="FE047472" w:tentative="1">
      <w:start w:val="1"/>
      <w:numFmt w:val="bullet"/>
      <w:lvlText w:val="•"/>
      <w:lvlJc w:val="left"/>
      <w:pPr>
        <w:tabs>
          <w:tab w:val="num" w:pos="4320"/>
        </w:tabs>
        <w:ind w:left="4320" w:hanging="360"/>
      </w:pPr>
      <w:rPr>
        <w:rFonts w:ascii="Arial" w:hAnsi="Arial" w:hint="default"/>
      </w:rPr>
    </w:lvl>
    <w:lvl w:ilvl="6" w:tplc="D3EEEA82" w:tentative="1">
      <w:start w:val="1"/>
      <w:numFmt w:val="bullet"/>
      <w:lvlText w:val="•"/>
      <w:lvlJc w:val="left"/>
      <w:pPr>
        <w:tabs>
          <w:tab w:val="num" w:pos="5040"/>
        </w:tabs>
        <w:ind w:left="5040" w:hanging="360"/>
      </w:pPr>
      <w:rPr>
        <w:rFonts w:ascii="Arial" w:hAnsi="Arial" w:hint="default"/>
      </w:rPr>
    </w:lvl>
    <w:lvl w:ilvl="7" w:tplc="0D06FAD2" w:tentative="1">
      <w:start w:val="1"/>
      <w:numFmt w:val="bullet"/>
      <w:lvlText w:val="•"/>
      <w:lvlJc w:val="left"/>
      <w:pPr>
        <w:tabs>
          <w:tab w:val="num" w:pos="5760"/>
        </w:tabs>
        <w:ind w:left="5760" w:hanging="360"/>
      </w:pPr>
      <w:rPr>
        <w:rFonts w:ascii="Arial" w:hAnsi="Arial" w:hint="default"/>
      </w:rPr>
    </w:lvl>
    <w:lvl w:ilvl="8" w:tplc="E93646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86465B"/>
    <w:multiLevelType w:val="hybridMultilevel"/>
    <w:tmpl w:val="BCA8F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C2911"/>
    <w:multiLevelType w:val="hybridMultilevel"/>
    <w:tmpl w:val="64E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E4355"/>
    <w:multiLevelType w:val="hybridMultilevel"/>
    <w:tmpl w:val="928EC480"/>
    <w:lvl w:ilvl="0" w:tplc="04090005">
      <w:start w:val="1"/>
      <w:numFmt w:val="bullet"/>
      <w:lvlText w:val=""/>
      <w:lvlJc w:val="left"/>
      <w:pPr>
        <w:tabs>
          <w:tab w:val="num" w:pos="720"/>
        </w:tabs>
        <w:ind w:left="720" w:hanging="360"/>
      </w:pPr>
      <w:rPr>
        <w:rFonts w:ascii="Wingdings" w:hAnsi="Wingdings" w:hint="default"/>
      </w:rPr>
    </w:lvl>
    <w:lvl w:ilvl="1" w:tplc="AEA0A836" w:tentative="1">
      <w:start w:val="1"/>
      <w:numFmt w:val="bullet"/>
      <w:lvlText w:val="•"/>
      <w:lvlJc w:val="left"/>
      <w:pPr>
        <w:tabs>
          <w:tab w:val="num" w:pos="1440"/>
        </w:tabs>
        <w:ind w:left="1440" w:hanging="360"/>
      </w:pPr>
      <w:rPr>
        <w:rFonts w:ascii="Arial" w:hAnsi="Arial" w:hint="default"/>
      </w:rPr>
    </w:lvl>
    <w:lvl w:ilvl="2" w:tplc="A64AEB10" w:tentative="1">
      <w:start w:val="1"/>
      <w:numFmt w:val="bullet"/>
      <w:lvlText w:val="•"/>
      <w:lvlJc w:val="left"/>
      <w:pPr>
        <w:tabs>
          <w:tab w:val="num" w:pos="2160"/>
        </w:tabs>
        <w:ind w:left="2160" w:hanging="360"/>
      </w:pPr>
      <w:rPr>
        <w:rFonts w:ascii="Arial" w:hAnsi="Arial" w:hint="default"/>
      </w:rPr>
    </w:lvl>
    <w:lvl w:ilvl="3" w:tplc="5A8E69F0" w:tentative="1">
      <w:start w:val="1"/>
      <w:numFmt w:val="bullet"/>
      <w:lvlText w:val="•"/>
      <w:lvlJc w:val="left"/>
      <w:pPr>
        <w:tabs>
          <w:tab w:val="num" w:pos="2880"/>
        </w:tabs>
        <w:ind w:left="2880" w:hanging="360"/>
      </w:pPr>
      <w:rPr>
        <w:rFonts w:ascii="Arial" w:hAnsi="Arial" w:hint="default"/>
      </w:rPr>
    </w:lvl>
    <w:lvl w:ilvl="4" w:tplc="A2483D64" w:tentative="1">
      <w:start w:val="1"/>
      <w:numFmt w:val="bullet"/>
      <w:lvlText w:val="•"/>
      <w:lvlJc w:val="left"/>
      <w:pPr>
        <w:tabs>
          <w:tab w:val="num" w:pos="3600"/>
        </w:tabs>
        <w:ind w:left="3600" w:hanging="360"/>
      </w:pPr>
      <w:rPr>
        <w:rFonts w:ascii="Arial" w:hAnsi="Arial" w:hint="default"/>
      </w:rPr>
    </w:lvl>
    <w:lvl w:ilvl="5" w:tplc="AB58CAEA" w:tentative="1">
      <w:start w:val="1"/>
      <w:numFmt w:val="bullet"/>
      <w:lvlText w:val="•"/>
      <w:lvlJc w:val="left"/>
      <w:pPr>
        <w:tabs>
          <w:tab w:val="num" w:pos="4320"/>
        </w:tabs>
        <w:ind w:left="4320" w:hanging="360"/>
      </w:pPr>
      <w:rPr>
        <w:rFonts w:ascii="Arial" w:hAnsi="Arial" w:hint="default"/>
      </w:rPr>
    </w:lvl>
    <w:lvl w:ilvl="6" w:tplc="2C562980" w:tentative="1">
      <w:start w:val="1"/>
      <w:numFmt w:val="bullet"/>
      <w:lvlText w:val="•"/>
      <w:lvlJc w:val="left"/>
      <w:pPr>
        <w:tabs>
          <w:tab w:val="num" w:pos="5040"/>
        </w:tabs>
        <w:ind w:left="5040" w:hanging="360"/>
      </w:pPr>
      <w:rPr>
        <w:rFonts w:ascii="Arial" w:hAnsi="Arial" w:hint="default"/>
      </w:rPr>
    </w:lvl>
    <w:lvl w:ilvl="7" w:tplc="5C187E3E" w:tentative="1">
      <w:start w:val="1"/>
      <w:numFmt w:val="bullet"/>
      <w:lvlText w:val="•"/>
      <w:lvlJc w:val="left"/>
      <w:pPr>
        <w:tabs>
          <w:tab w:val="num" w:pos="5760"/>
        </w:tabs>
        <w:ind w:left="5760" w:hanging="360"/>
      </w:pPr>
      <w:rPr>
        <w:rFonts w:ascii="Arial" w:hAnsi="Arial" w:hint="default"/>
      </w:rPr>
    </w:lvl>
    <w:lvl w:ilvl="8" w:tplc="966C2E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011DF1"/>
    <w:multiLevelType w:val="hybridMultilevel"/>
    <w:tmpl w:val="4FA014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15B03"/>
    <w:multiLevelType w:val="hybridMultilevel"/>
    <w:tmpl w:val="BCF450DE"/>
    <w:lvl w:ilvl="0" w:tplc="DCBE2392">
      <w:start w:val="1"/>
      <w:numFmt w:val="bullet"/>
      <w:pStyle w:val="TOC1"/>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46BE3"/>
    <w:multiLevelType w:val="hybridMultilevel"/>
    <w:tmpl w:val="79E85D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75698"/>
    <w:multiLevelType w:val="hybridMultilevel"/>
    <w:tmpl w:val="87B4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1194E"/>
    <w:multiLevelType w:val="hybridMultilevel"/>
    <w:tmpl w:val="084C9F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C4881"/>
    <w:multiLevelType w:val="hybridMultilevel"/>
    <w:tmpl w:val="AB5C54C0"/>
    <w:lvl w:ilvl="0" w:tplc="CB8AE866">
      <w:start w:val="7"/>
      <w:numFmt w:val="lowerRoman"/>
      <w:lvlText w:val="%1."/>
      <w:lvlJc w:val="righ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23A64"/>
    <w:multiLevelType w:val="hybridMultilevel"/>
    <w:tmpl w:val="B80E6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03F47"/>
    <w:multiLevelType w:val="hybridMultilevel"/>
    <w:tmpl w:val="739EE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95B18"/>
    <w:multiLevelType w:val="hybridMultilevel"/>
    <w:tmpl w:val="C01C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63189"/>
    <w:multiLevelType w:val="hybridMultilevel"/>
    <w:tmpl w:val="20CE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71409"/>
    <w:multiLevelType w:val="hybridMultilevel"/>
    <w:tmpl w:val="85CA1D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64723E"/>
    <w:multiLevelType w:val="hybridMultilevel"/>
    <w:tmpl w:val="0536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610E8"/>
    <w:multiLevelType w:val="hybridMultilevel"/>
    <w:tmpl w:val="940E79EA"/>
    <w:lvl w:ilvl="0" w:tplc="04090005">
      <w:start w:val="1"/>
      <w:numFmt w:val="bullet"/>
      <w:lvlText w:val=""/>
      <w:lvlJc w:val="left"/>
      <w:pPr>
        <w:tabs>
          <w:tab w:val="num" w:pos="720"/>
        </w:tabs>
        <w:ind w:left="720" w:hanging="360"/>
      </w:pPr>
      <w:rPr>
        <w:rFonts w:ascii="Wingdings" w:hAnsi="Wingdings" w:hint="default"/>
      </w:rPr>
    </w:lvl>
    <w:lvl w:ilvl="1" w:tplc="11EA9CF6" w:tentative="1">
      <w:start w:val="1"/>
      <w:numFmt w:val="bullet"/>
      <w:lvlText w:val="•"/>
      <w:lvlJc w:val="left"/>
      <w:pPr>
        <w:tabs>
          <w:tab w:val="num" w:pos="1440"/>
        </w:tabs>
        <w:ind w:left="1440" w:hanging="360"/>
      </w:pPr>
      <w:rPr>
        <w:rFonts w:ascii="Arial" w:hAnsi="Arial" w:hint="default"/>
      </w:rPr>
    </w:lvl>
    <w:lvl w:ilvl="2" w:tplc="2FDA05F6" w:tentative="1">
      <w:start w:val="1"/>
      <w:numFmt w:val="bullet"/>
      <w:lvlText w:val="•"/>
      <w:lvlJc w:val="left"/>
      <w:pPr>
        <w:tabs>
          <w:tab w:val="num" w:pos="2160"/>
        </w:tabs>
        <w:ind w:left="2160" w:hanging="360"/>
      </w:pPr>
      <w:rPr>
        <w:rFonts w:ascii="Arial" w:hAnsi="Arial" w:hint="default"/>
      </w:rPr>
    </w:lvl>
    <w:lvl w:ilvl="3" w:tplc="F96430E2" w:tentative="1">
      <w:start w:val="1"/>
      <w:numFmt w:val="bullet"/>
      <w:lvlText w:val="•"/>
      <w:lvlJc w:val="left"/>
      <w:pPr>
        <w:tabs>
          <w:tab w:val="num" w:pos="2880"/>
        </w:tabs>
        <w:ind w:left="2880" w:hanging="360"/>
      </w:pPr>
      <w:rPr>
        <w:rFonts w:ascii="Arial" w:hAnsi="Arial" w:hint="default"/>
      </w:rPr>
    </w:lvl>
    <w:lvl w:ilvl="4" w:tplc="AECC6E14" w:tentative="1">
      <w:start w:val="1"/>
      <w:numFmt w:val="bullet"/>
      <w:lvlText w:val="•"/>
      <w:lvlJc w:val="left"/>
      <w:pPr>
        <w:tabs>
          <w:tab w:val="num" w:pos="3600"/>
        </w:tabs>
        <w:ind w:left="3600" w:hanging="360"/>
      </w:pPr>
      <w:rPr>
        <w:rFonts w:ascii="Arial" w:hAnsi="Arial" w:hint="default"/>
      </w:rPr>
    </w:lvl>
    <w:lvl w:ilvl="5" w:tplc="4F6AEA4A" w:tentative="1">
      <w:start w:val="1"/>
      <w:numFmt w:val="bullet"/>
      <w:lvlText w:val="•"/>
      <w:lvlJc w:val="left"/>
      <w:pPr>
        <w:tabs>
          <w:tab w:val="num" w:pos="4320"/>
        </w:tabs>
        <w:ind w:left="4320" w:hanging="360"/>
      </w:pPr>
      <w:rPr>
        <w:rFonts w:ascii="Arial" w:hAnsi="Arial" w:hint="default"/>
      </w:rPr>
    </w:lvl>
    <w:lvl w:ilvl="6" w:tplc="BCB4CAF8" w:tentative="1">
      <w:start w:val="1"/>
      <w:numFmt w:val="bullet"/>
      <w:lvlText w:val="•"/>
      <w:lvlJc w:val="left"/>
      <w:pPr>
        <w:tabs>
          <w:tab w:val="num" w:pos="5040"/>
        </w:tabs>
        <w:ind w:left="5040" w:hanging="360"/>
      </w:pPr>
      <w:rPr>
        <w:rFonts w:ascii="Arial" w:hAnsi="Arial" w:hint="default"/>
      </w:rPr>
    </w:lvl>
    <w:lvl w:ilvl="7" w:tplc="0AD87DC6" w:tentative="1">
      <w:start w:val="1"/>
      <w:numFmt w:val="bullet"/>
      <w:lvlText w:val="•"/>
      <w:lvlJc w:val="left"/>
      <w:pPr>
        <w:tabs>
          <w:tab w:val="num" w:pos="5760"/>
        </w:tabs>
        <w:ind w:left="5760" w:hanging="360"/>
      </w:pPr>
      <w:rPr>
        <w:rFonts w:ascii="Arial" w:hAnsi="Arial" w:hint="default"/>
      </w:rPr>
    </w:lvl>
    <w:lvl w:ilvl="8" w:tplc="9FD8B63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2582313"/>
    <w:multiLevelType w:val="hybridMultilevel"/>
    <w:tmpl w:val="9372E7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26A01"/>
    <w:multiLevelType w:val="hybridMultilevel"/>
    <w:tmpl w:val="E1868D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452F4"/>
    <w:multiLevelType w:val="hybridMultilevel"/>
    <w:tmpl w:val="5BEE0B80"/>
    <w:lvl w:ilvl="0" w:tplc="04090005">
      <w:start w:val="1"/>
      <w:numFmt w:val="bullet"/>
      <w:lvlText w:val=""/>
      <w:lvlJc w:val="left"/>
      <w:pPr>
        <w:tabs>
          <w:tab w:val="num" w:pos="720"/>
        </w:tabs>
        <w:ind w:left="720" w:hanging="360"/>
      </w:pPr>
      <w:rPr>
        <w:rFonts w:ascii="Wingdings" w:hAnsi="Wingdings" w:hint="default"/>
      </w:rPr>
    </w:lvl>
    <w:lvl w:ilvl="1" w:tplc="EC60A66E" w:tentative="1">
      <w:start w:val="1"/>
      <w:numFmt w:val="bullet"/>
      <w:lvlText w:val="•"/>
      <w:lvlJc w:val="left"/>
      <w:pPr>
        <w:tabs>
          <w:tab w:val="num" w:pos="1440"/>
        </w:tabs>
        <w:ind w:left="1440" w:hanging="360"/>
      </w:pPr>
      <w:rPr>
        <w:rFonts w:ascii="Arial" w:hAnsi="Arial" w:hint="default"/>
      </w:rPr>
    </w:lvl>
    <w:lvl w:ilvl="2" w:tplc="505AEF46" w:tentative="1">
      <w:start w:val="1"/>
      <w:numFmt w:val="bullet"/>
      <w:lvlText w:val="•"/>
      <w:lvlJc w:val="left"/>
      <w:pPr>
        <w:tabs>
          <w:tab w:val="num" w:pos="2160"/>
        </w:tabs>
        <w:ind w:left="2160" w:hanging="360"/>
      </w:pPr>
      <w:rPr>
        <w:rFonts w:ascii="Arial" w:hAnsi="Arial" w:hint="default"/>
      </w:rPr>
    </w:lvl>
    <w:lvl w:ilvl="3" w:tplc="D7B86F92" w:tentative="1">
      <w:start w:val="1"/>
      <w:numFmt w:val="bullet"/>
      <w:lvlText w:val="•"/>
      <w:lvlJc w:val="left"/>
      <w:pPr>
        <w:tabs>
          <w:tab w:val="num" w:pos="2880"/>
        </w:tabs>
        <w:ind w:left="2880" w:hanging="360"/>
      </w:pPr>
      <w:rPr>
        <w:rFonts w:ascii="Arial" w:hAnsi="Arial" w:hint="default"/>
      </w:rPr>
    </w:lvl>
    <w:lvl w:ilvl="4" w:tplc="C492B1FA" w:tentative="1">
      <w:start w:val="1"/>
      <w:numFmt w:val="bullet"/>
      <w:lvlText w:val="•"/>
      <w:lvlJc w:val="left"/>
      <w:pPr>
        <w:tabs>
          <w:tab w:val="num" w:pos="3600"/>
        </w:tabs>
        <w:ind w:left="3600" w:hanging="360"/>
      </w:pPr>
      <w:rPr>
        <w:rFonts w:ascii="Arial" w:hAnsi="Arial" w:hint="default"/>
      </w:rPr>
    </w:lvl>
    <w:lvl w:ilvl="5" w:tplc="526C8CF8" w:tentative="1">
      <w:start w:val="1"/>
      <w:numFmt w:val="bullet"/>
      <w:lvlText w:val="•"/>
      <w:lvlJc w:val="left"/>
      <w:pPr>
        <w:tabs>
          <w:tab w:val="num" w:pos="4320"/>
        </w:tabs>
        <w:ind w:left="4320" w:hanging="360"/>
      </w:pPr>
      <w:rPr>
        <w:rFonts w:ascii="Arial" w:hAnsi="Arial" w:hint="default"/>
      </w:rPr>
    </w:lvl>
    <w:lvl w:ilvl="6" w:tplc="AA04C84A" w:tentative="1">
      <w:start w:val="1"/>
      <w:numFmt w:val="bullet"/>
      <w:lvlText w:val="•"/>
      <w:lvlJc w:val="left"/>
      <w:pPr>
        <w:tabs>
          <w:tab w:val="num" w:pos="5040"/>
        </w:tabs>
        <w:ind w:left="5040" w:hanging="360"/>
      </w:pPr>
      <w:rPr>
        <w:rFonts w:ascii="Arial" w:hAnsi="Arial" w:hint="default"/>
      </w:rPr>
    </w:lvl>
    <w:lvl w:ilvl="7" w:tplc="338A7EFC" w:tentative="1">
      <w:start w:val="1"/>
      <w:numFmt w:val="bullet"/>
      <w:lvlText w:val="•"/>
      <w:lvlJc w:val="left"/>
      <w:pPr>
        <w:tabs>
          <w:tab w:val="num" w:pos="5760"/>
        </w:tabs>
        <w:ind w:left="5760" w:hanging="360"/>
      </w:pPr>
      <w:rPr>
        <w:rFonts w:ascii="Arial" w:hAnsi="Arial" w:hint="default"/>
      </w:rPr>
    </w:lvl>
    <w:lvl w:ilvl="8" w:tplc="EF8438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CA07C2"/>
    <w:multiLevelType w:val="hybridMultilevel"/>
    <w:tmpl w:val="95848A74"/>
    <w:lvl w:ilvl="0" w:tplc="04090005">
      <w:start w:val="1"/>
      <w:numFmt w:val="bullet"/>
      <w:lvlText w:val=""/>
      <w:lvlJc w:val="left"/>
      <w:pPr>
        <w:tabs>
          <w:tab w:val="num" w:pos="720"/>
        </w:tabs>
        <w:ind w:left="720" w:hanging="360"/>
      </w:pPr>
      <w:rPr>
        <w:rFonts w:ascii="Wingdings" w:hAnsi="Wingdings" w:hint="default"/>
      </w:rPr>
    </w:lvl>
    <w:lvl w:ilvl="1" w:tplc="87809F1C" w:tentative="1">
      <w:start w:val="1"/>
      <w:numFmt w:val="bullet"/>
      <w:lvlText w:val="•"/>
      <w:lvlJc w:val="left"/>
      <w:pPr>
        <w:tabs>
          <w:tab w:val="num" w:pos="1440"/>
        </w:tabs>
        <w:ind w:left="1440" w:hanging="360"/>
      </w:pPr>
      <w:rPr>
        <w:rFonts w:ascii="Arial" w:hAnsi="Arial" w:hint="default"/>
      </w:rPr>
    </w:lvl>
    <w:lvl w:ilvl="2" w:tplc="9008EE38" w:tentative="1">
      <w:start w:val="1"/>
      <w:numFmt w:val="bullet"/>
      <w:lvlText w:val="•"/>
      <w:lvlJc w:val="left"/>
      <w:pPr>
        <w:tabs>
          <w:tab w:val="num" w:pos="2160"/>
        </w:tabs>
        <w:ind w:left="2160" w:hanging="360"/>
      </w:pPr>
      <w:rPr>
        <w:rFonts w:ascii="Arial" w:hAnsi="Arial" w:hint="default"/>
      </w:rPr>
    </w:lvl>
    <w:lvl w:ilvl="3" w:tplc="83D63624" w:tentative="1">
      <w:start w:val="1"/>
      <w:numFmt w:val="bullet"/>
      <w:lvlText w:val="•"/>
      <w:lvlJc w:val="left"/>
      <w:pPr>
        <w:tabs>
          <w:tab w:val="num" w:pos="2880"/>
        </w:tabs>
        <w:ind w:left="2880" w:hanging="360"/>
      </w:pPr>
      <w:rPr>
        <w:rFonts w:ascii="Arial" w:hAnsi="Arial" w:hint="default"/>
      </w:rPr>
    </w:lvl>
    <w:lvl w:ilvl="4" w:tplc="6EC4BC12" w:tentative="1">
      <w:start w:val="1"/>
      <w:numFmt w:val="bullet"/>
      <w:lvlText w:val="•"/>
      <w:lvlJc w:val="left"/>
      <w:pPr>
        <w:tabs>
          <w:tab w:val="num" w:pos="3600"/>
        </w:tabs>
        <w:ind w:left="3600" w:hanging="360"/>
      </w:pPr>
      <w:rPr>
        <w:rFonts w:ascii="Arial" w:hAnsi="Arial" w:hint="default"/>
      </w:rPr>
    </w:lvl>
    <w:lvl w:ilvl="5" w:tplc="8456794C" w:tentative="1">
      <w:start w:val="1"/>
      <w:numFmt w:val="bullet"/>
      <w:lvlText w:val="•"/>
      <w:lvlJc w:val="left"/>
      <w:pPr>
        <w:tabs>
          <w:tab w:val="num" w:pos="4320"/>
        </w:tabs>
        <w:ind w:left="4320" w:hanging="360"/>
      </w:pPr>
      <w:rPr>
        <w:rFonts w:ascii="Arial" w:hAnsi="Arial" w:hint="default"/>
      </w:rPr>
    </w:lvl>
    <w:lvl w:ilvl="6" w:tplc="E950600E" w:tentative="1">
      <w:start w:val="1"/>
      <w:numFmt w:val="bullet"/>
      <w:lvlText w:val="•"/>
      <w:lvlJc w:val="left"/>
      <w:pPr>
        <w:tabs>
          <w:tab w:val="num" w:pos="5040"/>
        </w:tabs>
        <w:ind w:left="5040" w:hanging="360"/>
      </w:pPr>
      <w:rPr>
        <w:rFonts w:ascii="Arial" w:hAnsi="Arial" w:hint="default"/>
      </w:rPr>
    </w:lvl>
    <w:lvl w:ilvl="7" w:tplc="6D92FCA4" w:tentative="1">
      <w:start w:val="1"/>
      <w:numFmt w:val="bullet"/>
      <w:lvlText w:val="•"/>
      <w:lvlJc w:val="left"/>
      <w:pPr>
        <w:tabs>
          <w:tab w:val="num" w:pos="5760"/>
        </w:tabs>
        <w:ind w:left="5760" w:hanging="360"/>
      </w:pPr>
      <w:rPr>
        <w:rFonts w:ascii="Arial" w:hAnsi="Arial" w:hint="default"/>
      </w:rPr>
    </w:lvl>
    <w:lvl w:ilvl="8" w:tplc="A7B65CA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7891287"/>
    <w:multiLevelType w:val="hybridMultilevel"/>
    <w:tmpl w:val="0EFE6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C8544B"/>
    <w:multiLevelType w:val="hybridMultilevel"/>
    <w:tmpl w:val="ED7EA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E3CB1"/>
    <w:multiLevelType w:val="hybridMultilevel"/>
    <w:tmpl w:val="7FBA8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9D6D81"/>
    <w:multiLevelType w:val="hybridMultilevel"/>
    <w:tmpl w:val="9A4C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6"/>
  </w:num>
  <w:num w:numId="4">
    <w:abstractNumId w:val="6"/>
  </w:num>
  <w:num w:numId="5">
    <w:abstractNumId w:val="4"/>
  </w:num>
  <w:num w:numId="6">
    <w:abstractNumId w:val="25"/>
  </w:num>
  <w:num w:numId="7">
    <w:abstractNumId w:val="14"/>
  </w:num>
  <w:num w:numId="8">
    <w:abstractNumId w:val="23"/>
  </w:num>
  <w:num w:numId="9">
    <w:abstractNumId w:val="3"/>
  </w:num>
  <w:num w:numId="10">
    <w:abstractNumId w:val="11"/>
  </w:num>
  <w:num w:numId="11">
    <w:abstractNumId w:val="8"/>
  </w:num>
  <w:num w:numId="12">
    <w:abstractNumId w:val="10"/>
  </w:num>
  <w:num w:numId="13">
    <w:abstractNumId w:val="20"/>
  </w:num>
  <w:num w:numId="14">
    <w:abstractNumId w:val="13"/>
  </w:num>
  <w:num w:numId="15">
    <w:abstractNumId w:val="12"/>
  </w:num>
  <w:num w:numId="16">
    <w:abstractNumId w:val="19"/>
  </w:num>
  <w:num w:numId="17">
    <w:abstractNumId w:val="16"/>
  </w:num>
  <w:num w:numId="18">
    <w:abstractNumId w:val="24"/>
  </w:num>
  <w:num w:numId="19">
    <w:abstractNumId w:val="15"/>
  </w:num>
  <w:num w:numId="20">
    <w:abstractNumId w:val="9"/>
  </w:num>
  <w:num w:numId="21">
    <w:abstractNumId w:val="17"/>
  </w:num>
  <w:num w:numId="22">
    <w:abstractNumId w:val="2"/>
  </w:num>
  <w:num w:numId="23">
    <w:abstractNumId w:val="22"/>
  </w:num>
  <w:num w:numId="24">
    <w:abstractNumId w:val="21"/>
  </w:num>
  <w:num w:numId="25">
    <w:abstractNumId w:val="5"/>
  </w:num>
  <w:num w:numId="26">
    <w:abstractNumId w:val="18"/>
  </w:num>
  <w:num w:numId="2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7F"/>
    <w:rsid w:val="0000626A"/>
    <w:rsid w:val="00016F03"/>
    <w:rsid w:val="00020193"/>
    <w:rsid w:val="000213DD"/>
    <w:rsid w:val="0002430F"/>
    <w:rsid w:val="000253FA"/>
    <w:rsid w:val="000316FF"/>
    <w:rsid w:val="00043298"/>
    <w:rsid w:val="0004622E"/>
    <w:rsid w:val="00050515"/>
    <w:rsid w:val="00051926"/>
    <w:rsid w:val="00053148"/>
    <w:rsid w:val="000541C7"/>
    <w:rsid w:val="000544D8"/>
    <w:rsid w:val="000552D3"/>
    <w:rsid w:val="00056378"/>
    <w:rsid w:val="00060CBE"/>
    <w:rsid w:val="000646B5"/>
    <w:rsid w:val="00065648"/>
    <w:rsid w:val="00065D29"/>
    <w:rsid w:val="00070A5A"/>
    <w:rsid w:val="000725A7"/>
    <w:rsid w:val="000828B4"/>
    <w:rsid w:val="00083D28"/>
    <w:rsid w:val="000862B7"/>
    <w:rsid w:val="0009364D"/>
    <w:rsid w:val="000B33D9"/>
    <w:rsid w:val="000B5BF1"/>
    <w:rsid w:val="000B66B7"/>
    <w:rsid w:val="000B6C81"/>
    <w:rsid w:val="000C00B3"/>
    <w:rsid w:val="000C12E2"/>
    <w:rsid w:val="000C2437"/>
    <w:rsid w:val="000D7FDF"/>
    <w:rsid w:val="000E6003"/>
    <w:rsid w:val="000F289E"/>
    <w:rsid w:val="000F2995"/>
    <w:rsid w:val="000F2E4F"/>
    <w:rsid w:val="000F3005"/>
    <w:rsid w:val="000F7AFA"/>
    <w:rsid w:val="001004E8"/>
    <w:rsid w:val="0010520D"/>
    <w:rsid w:val="001203D9"/>
    <w:rsid w:val="00120471"/>
    <w:rsid w:val="0012094C"/>
    <w:rsid w:val="00135B91"/>
    <w:rsid w:val="0014121F"/>
    <w:rsid w:val="001545BC"/>
    <w:rsid w:val="0016667D"/>
    <w:rsid w:val="0016797A"/>
    <w:rsid w:val="00176B95"/>
    <w:rsid w:val="00177FB2"/>
    <w:rsid w:val="00185C5B"/>
    <w:rsid w:val="00185ED6"/>
    <w:rsid w:val="00194802"/>
    <w:rsid w:val="0019690B"/>
    <w:rsid w:val="001A1244"/>
    <w:rsid w:val="001A1CEB"/>
    <w:rsid w:val="001A2176"/>
    <w:rsid w:val="001A3CE1"/>
    <w:rsid w:val="001A769B"/>
    <w:rsid w:val="001A78EE"/>
    <w:rsid w:val="001B250E"/>
    <w:rsid w:val="001B2876"/>
    <w:rsid w:val="001C248E"/>
    <w:rsid w:val="001C3E76"/>
    <w:rsid w:val="001D2FB9"/>
    <w:rsid w:val="001E1B1D"/>
    <w:rsid w:val="001E689E"/>
    <w:rsid w:val="002003AC"/>
    <w:rsid w:val="00201863"/>
    <w:rsid w:val="002169FE"/>
    <w:rsid w:val="00222BE7"/>
    <w:rsid w:val="002324A2"/>
    <w:rsid w:val="002347EF"/>
    <w:rsid w:val="00235786"/>
    <w:rsid w:val="00247A88"/>
    <w:rsid w:val="00252D04"/>
    <w:rsid w:val="00253778"/>
    <w:rsid w:val="00273968"/>
    <w:rsid w:val="00277152"/>
    <w:rsid w:val="0028088B"/>
    <w:rsid w:val="002824CE"/>
    <w:rsid w:val="002850C0"/>
    <w:rsid w:val="00285632"/>
    <w:rsid w:val="00291490"/>
    <w:rsid w:val="002915AF"/>
    <w:rsid w:val="0029354D"/>
    <w:rsid w:val="00294532"/>
    <w:rsid w:val="00295146"/>
    <w:rsid w:val="0029712E"/>
    <w:rsid w:val="00297492"/>
    <w:rsid w:val="002A2FE3"/>
    <w:rsid w:val="002A3293"/>
    <w:rsid w:val="002B17C6"/>
    <w:rsid w:val="002B2DA8"/>
    <w:rsid w:val="002B4DD7"/>
    <w:rsid w:val="002C0361"/>
    <w:rsid w:val="002C1BF9"/>
    <w:rsid w:val="002C2D29"/>
    <w:rsid w:val="002D05B9"/>
    <w:rsid w:val="002D644E"/>
    <w:rsid w:val="002E13B3"/>
    <w:rsid w:val="002F1F1B"/>
    <w:rsid w:val="002F2988"/>
    <w:rsid w:val="003007C2"/>
    <w:rsid w:val="003042AF"/>
    <w:rsid w:val="00304BCF"/>
    <w:rsid w:val="003101CF"/>
    <w:rsid w:val="00311289"/>
    <w:rsid w:val="00323A2D"/>
    <w:rsid w:val="00325E06"/>
    <w:rsid w:val="00344876"/>
    <w:rsid w:val="00350C4A"/>
    <w:rsid w:val="00355F5C"/>
    <w:rsid w:val="00356BE0"/>
    <w:rsid w:val="00360050"/>
    <w:rsid w:val="0036046E"/>
    <w:rsid w:val="003633D7"/>
    <w:rsid w:val="00377D4F"/>
    <w:rsid w:val="0038644E"/>
    <w:rsid w:val="00392B6B"/>
    <w:rsid w:val="003930C6"/>
    <w:rsid w:val="003934DB"/>
    <w:rsid w:val="00394DB0"/>
    <w:rsid w:val="003978B3"/>
    <w:rsid w:val="003A2104"/>
    <w:rsid w:val="003B26A5"/>
    <w:rsid w:val="003B36FA"/>
    <w:rsid w:val="003B5770"/>
    <w:rsid w:val="003C1592"/>
    <w:rsid w:val="003C1BCD"/>
    <w:rsid w:val="003C2876"/>
    <w:rsid w:val="003D184B"/>
    <w:rsid w:val="003D3D7C"/>
    <w:rsid w:val="003D6E4E"/>
    <w:rsid w:val="003D7288"/>
    <w:rsid w:val="003E34A1"/>
    <w:rsid w:val="003F1170"/>
    <w:rsid w:val="004056E1"/>
    <w:rsid w:val="00407BB7"/>
    <w:rsid w:val="00410670"/>
    <w:rsid w:val="004126F0"/>
    <w:rsid w:val="00415590"/>
    <w:rsid w:val="004158A8"/>
    <w:rsid w:val="00415B6D"/>
    <w:rsid w:val="00423582"/>
    <w:rsid w:val="004266FA"/>
    <w:rsid w:val="00437514"/>
    <w:rsid w:val="00440824"/>
    <w:rsid w:val="00441448"/>
    <w:rsid w:val="0044167A"/>
    <w:rsid w:val="00442269"/>
    <w:rsid w:val="0044491F"/>
    <w:rsid w:val="004477DA"/>
    <w:rsid w:val="004528F2"/>
    <w:rsid w:val="004529F0"/>
    <w:rsid w:val="0045583D"/>
    <w:rsid w:val="0045652E"/>
    <w:rsid w:val="00457EE2"/>
    <w:rsid w:val="00460901"/>
    <w:rsid w:val="00461778"/>
    <w:rsid w:val="00464AEC"/>
    <w:rsid w:val="00465495"/>
    <w:rsid w:val="004714BB"/>
    <w:rsid w:val="004733E5"/>
    <w:rsid w:val="00473E9A"/>
    <w:rsid w:val="004756D0"/>
    <w:rsid w:val="00492E06"/>
    <w:rsid w:val="00496004"/>
    <w:rsid w:val="004A3D50"/>
    <w:rsid w:val="004A4AC6"/>
    <w:rsid w:val="004A6B85"/>
    <w:rsid w:val="004B2105"/>
    <w:rsid w:val="004B2FA4"/>
    <w:rsid w:val="004B300E"/>
    <w:rsid w:val="004B384A"/>
    <w:rsid w:val="004B4FD3"/>
    <w:rsid w:val="004B5380"/>
    <w:rsid w:val="004C2F32"/>
    <w:rsid w:val="004D1546"/>
    <w:rsid w:val="004D5CE6"/>
    <w:rsid w:val="004E0C4E"/>
    <w:rsid w:val="004E6BCB"/>
    <w:rsid w:val="004F3688"/>
    <w:rsid w:val="004F6C1D"/>
    <w:rsid w:val="005017FD"/>
    <w:rsid w:val="00503C66"/>
    <w:rsid w:val="005074DF"/>
    <w:rsid w:val="00513574"/>
    <w:rsid w:val="0051720E"/>
    <w:rsid w:val="00521400"/>
    <w:rsid w:val="00525CD1"/>
    <w:rsid w:val="00541DA1"/>
    <w:rsid w:val="00542A10"/>
    <w:rsid w:val="00542DA4"/>
    <w:rsid w:val="005458B6"/>
    <w:rsid w:val="00550CDA"/>
    <w:rsid w:val="00554815"/>
    <w:rsid w:val="00562644"/>
    <w:rsid w:val="00564A12"/>
    <w:rsid w:val="005667F9"/>
    <w:rsid w:val="005778B3"/>
    <w:rsid w:val="0058034E"/>
    <w:rsid w:val="00582C2E"/>
    <w:rsid w:val="00585012"/>
    <w:rsid w:val="005854EA"/>
    <w:rsid w:val="00586063"/>
    <w:rsid w:val="00587906"/>
    <w:rsid w:val="00590DA9"/>
    <w:rsid w:val="005A5103"/>
    <w:rsid w:val="005B0928"/>
    <w:rsid w:val="005B12AE"/>
    <w:rsid w:val="005B27BB"/>
    <w:rsid w:val="005B55A0"/>
    <w:rsid w:val="005B596E"/>
    <w:rsid w:val="005B6C54"/>
    <w:rsid w:val="005B7E0C"/>
    <w:rsid w:val="005C2AC2"/>
    <w:rsid w:val="005D6E5A"/>
    <w:rsid w:val="005E2A78"/>
    <w:rsid w:val="005F4890"/>
    <w:rsid w:val="005F5588"/>
    <w:rsid w:val="005F5B1B"/>
    <w:rsid w:val="00601C0F"/>
    <w:rsid w:val="00605D81"/>
    <w:rsid w:val="006106B3"/>
    <w:rsid w:val="00611321"/>
    <w:rsid w:val="00616412"/>
    <w:rsid w:val="006239BA"/>
    <w:rsid w:val="00624423"/>
    <w:rsid w:val="006349DB"/>
    <w:rsid w:val="00635142"/>
    <w:rsid w:val="00640C96"/>
    <w:rsid w:val="0064402A"/>
    <w:rsid w:val="006536D2"/>
    <w:rsid w:val="00656CC0"/>
    <w:rsid w:val="00661F67"/>
    <w:rsid w:val="00661F73"/>
    <w:rsid w:val="00667627"/>
    <w:rsid w:val="00672337"/>
    <w:rsid w:val="00672DD0"/>
    <w:rsid w:val="00673F5C"/>
    <w:rsid w:val="00676CF0"/>
    <w:rsid w:val="0069601F"/>
    <w:rsid w:val="006A324E"/>
    <w:rsid w:val="006A3FCC"/>
    <w:rsid w:val="006A5D89"/>
    <w:rsid w:val="006C0213"/>
    <w:rsid w:val="006C52F9"/>
    <w:rsid w:val="006D6F16"/>
    <w:rsid w:val="006E0074"/>
    <w:rsid w:val="006E1559"/>
    <w:rsid w:val="006E2B37"/>
    <w:rsid w:val="006E47CE"/>
    <w:rsid w:val="006E49CB"/>
    <w:rsid w:val="006F2266"/>
    <w:rsid w:val="006F4BB7"/>
    <w:rsid w:val="007005BA"/>
    <w:rsid w:val="007035B6"/>
    <w:rsid w:val="007060DB"/>
    <w:rsid w:val="007200CB"/>
    <w:rsid w:val="00720917"/>
    <w:rsid w:val="007228CC"/>
    <w:rsid w:val="007255FF"/>
    <w:rsid w:val="0072581A"/>
    <w:rsid w:val="00727428"/>
    <w:rsid w:val="007317BB"/>
    <w:rsid w:val="0073284E"/>
    <w:rsid w:val="00756663"/>
    <w:rsid w:val="00773423"/>
    <w:rsid w:val="007768AB"/>
    <w:rsid w:val="00780777"/>
    <w:rsid w:val="00787D32"/>
    <w:rsid w:val="00790149"/>
    <w:rsid w:val="00791667"/>
    <w:rsid w:val="007A23B7"/>
    <w:rsid w:val="007B2822"/>
    <w:rsid w:val="007B2F63"/>
    <w:rsid w:val="007B428C"/>
    <w:rsid w:val="007C21B2"/>
    <w:rsid w:val="007C54C1"/>
    <w:rsid w:val="007D355A"/>
    <w:rsid w:val="007D608D"/>
    <w:rsid w:val="007E1349"/>
    <w:rsid w:val="007E5584"/>
    <w:rsid w:val="007E7CBC"/>
    <w:rsid w:val="007F7536"/>
    <w:rsid w:val="008249A5"/>
    <w:rsid w:val="00824CF1"/>
    <w:rsid w:val="00827B19"/>
    <w:rsid w:val="00833802"/>
    <w:rsid w:val="00836B86"/>
    <w:rsid w:val="00837D94"/>
    <w:rsid w:val="00845838"/>
    <w:rsid w:val="00847993"/>
    <w:rsid w:val="00853401"/>
    <w:rsid w:val="00855AEF"/>
    <w:rsid w:val="00875880"/>
    <w:rsid w:val="008918BA"/>
    <w:rsid w:val="008A001D"/>
    <w:rsid w:val="008B15F5"/>
    <w:rsid w:val="008B38AA"/>
    <w:rsid w:val="008B4FE2"/>
    <w:rsid w:val="008C05D6"/>
    <w:rsid w:val="008C5E16"/>
    <w:rsid w:val="008E27A9"/>
    <w:rsid w:val="008E2B43"/>
    <w:rsid w:val="008E473E"/>
    <w:rsid w:val="008E4827"/>
    <w:rsid w:val="008E5C7B"/>
    <w:rsid w:val="008E75D1"/>
    <w:rsid w:val="008E78AD"/>
    <w:rsid w:val="008F4E91"/>
    <w:rsid w:val="008F5CB1"/>
    <w:rsid w:val="009019B3"/>
    <w:rsid w:val="00903A07"/>
    <w:rsid w:val="00915EEE"/>
    <w:rsid w:val="0092222F"/>
    <w:rsid w:val="0092345F"/>
    <w:rsid w:val="009234B5"/>
    <w:rsid w:val="00925037"/>
    <w:rsid w:val="00925791"/>
    <w:rsid w:val="00930A8F"/>
    <w:rsid w:val="009312FC"/>
    <w:rsid w:val="00931748"/>
    <w:rsid w:val="00935C45"/>
    <w:rsid w:val="00947D67"/>
    <w:rsid w:val="00952640"/>
    <w:rsid w:val="00953F72"/>
    <w:rsid w:val="009551F0"/>
    <w:rsid w:val="00964B8B"/>
    <w:rsid w:val="00966F48"/>
    <w:rsid w:val="00972B8B"/>
    <w:rsid w:val="00973EF8"/>
    <w:rsid w:val="00974D89"/>
    <w:rsid w:val="0098714B"/>
    <w:rsid w:val="00995ED1"/>
    <w:rsid w:val="009A0735"/>
    <w:rsid w:val="009A5094"/>
    <w:rsid w:val="009A7307"/>
    <w:rsid w:val="009B0F86"/>
    <w:rsid w:val="009C1739"/>
    <w:rsid w:val="009D3001"/>
    <w:rsid w:val="009F72C2"/>
    <w:rsid w:val="00A0616F"/>
    <w:rsid w:val="00A107E4"/>
    <w:rsid w:val="00A15F13"/>
    <w:rsid w:val="00A205BA"/>
    <w:rsid w:val="00A22ED4"/>
    <w:rsid w:val="00A31F80"/>
    <w:rsid w:val="00A358B8"/>
    <w:rsid w:val="00A35F74"/>
    <w:rsid w:val="00A40414"/>
    <w:rsid w:val="00A432D4"/>
    <w:rsid w:val="00A443F4"/>
    <w:rsid w:val="00A53933"/>
    <w:rsid w:val="00A644A4"/>
    <w:rsid w:val="00A67432"/>
    <w:rsid w:val="00A708AB"/>
    <w:rsid w:val="00A70C44"/>
    <w:rsid w:val="00A728F7"/>
    <w:rsid w:val="00A91D4B"/>
    <w:rsid w:val="00A94322"/>
    <w:rsid w:val="00A96E41"/>
    <w:rsid w:val="00A97F83"/>
    <w:rsid w:val="00AA6CBB"/>
    <w:rsid w:val="00AC0ADE"/>
    <w:rsid w:val="00AC1924"/>
    <w:rsid w:val="00AC22C6"/>
    <w:rsid w:val="00AC62E5"/>
    <w:rsid w:val="00AC7800"/>
    <w:rsid w:val="00AD7BEB"/>
    <w:rsid w:val="00AE1FC2"/>
    <w:rsid w:val="00AF6AC1"/>
    <w:rsid w:val="00AF7853"/>
    <w:rsid w:val="00B10D84"/>
    <w:rsid w:val="00B13735"/>
    <w:rsid w:val="00B1375D"/>
    <w:rsid w:val="00B20CA6"/>
    <w:rsid w:val="00B20D48"/>
    <w:rsid w:val="00B2234C"/>
    <w:rsid w:val="00B3796A"/>
    <w:rsid w:val="00B412F6"/>
    <w:rsid w:val="00B41E64"/>
    <w:rsid w:val="00B42FE0"/>
    <w:rsid w:val="00B46EB7"/>
    <w:rsid w:val="00B54505"/>
    <w:rsid w:val="00B55740"/>
    <w:rsid w:val="00B55D49"/>
    <w:rsid w:val="00B6087D"/>
    <w:rsid w:val="00B70C0A"/>
    <w:rsid w:val="00B761F4"/>
    <w:rsid w:val="00B92F6B"/>
    <w:rsid w:val="00BA001F"/>
    <w:rsid w:val="00BB005E"/>
    <w:rsid w:val="00BC1EE3"/>
    <w:rsid w:val="00BD1B22"/>
    <w:rsid w:val="00BD2B71"/>
    <w:rsid w:val="00BE6EDD"/>
    <w:rsid w:val="00BF05B1"/>
    <w:rsid w:val="00BF1D7C"/>
    <w:rsid w:val="00BF22DA"/>
    <w:rsid w:val="00BF7912"/>
    <w:rsid w:val="00C00C70"/>
    <w:rsid w:val="00C02A88"/>
    <w:rsid w:val="00C060C6"/>
    <w:rsid w:val="00C0684D"/>
    <w:rsid w:val="00C06C53"/>
    <w:rsid w:val="00C11575"/>
    <w:rsid w:val="00C11E47"/>
    <w:rsid w:val="00C215E8"/>
    <w:rsid w:val="00C2260E"/>
    <w:rsid w:val="00C26E0F"/>
    <w:rsid w:val="00C35018"/>
    <w:rsid w:val="00C44617"/>
    <w:rsid w:val="00C44A15"/>
    <w:rsid w:val="00C459F9"/>
    <w:rsid w:val="00C521A0"/>
    <w:rsid w:val="00C52985"/>
    <w:rsid w:val="00C53BBE"/>
    <w:rsid w:val="00C54EB7"/>
    <w:rsid w:val="00C56576"/>
    <w:rsid w:val="00C60D1F"/>
    <w:rsid w:val="00C671A9"/>
    <w:rsid w:val="00C67A71"/>
    <w:rsid w:val="00C709E5"/>
    <w:rsid w:val="00C7347F"/>
    <w:rsid w:val="00C800E0"/>
    <w:rsid w:val="00C84367"/>
    <w:rsid w:val="00C867D4"/>
    <w:rsid w:val="00C927A4"/>
    <w:rsid w:val="00C96F72"/>
    <w:rsid w:val="00C97A5F"/>
    <w:rsid w:val="00CA2546"/>
    <w:rsid w:val="00CA6BCD"/>
    <w:rsid w:val="00CB1F6D"/>
    <w:rsid w:val="00CC2CF2"/>
    <w:rsid w:val="00CD5524"/>
    <w:rsid w:val="00CD7C12"/>
    <w:rsid w:val="00CE0A33"/>
    <w:rsid w:val="00CE148E"/>
    <w:rsid w:val="00CE619F"/>
    <w:rsid w:val="00CF0D4C"/>
    <w:rsid w:val="00CF14F6"/>
    <w:rsid w:val="00CF7BB3"/>
    <w:rsid w:val="00D01DA5"/>
    <w:rsid w:val="00D03A18"/>
    <w:rsid w:val="00D1123D"/>
    <w:rsid w:val="00D2526E"/>
    <w:rsid w:val="00D26801"/>
    <w:rsid w:val="00D27748"/>
    <w:rsid w:val="00D34877"/>
    <w:rsid w:val="00D34926"/>
    <w:rsid w:val="00D44015"/>
    <w:rsid w:val="00D52A52"/>
    <w:rsid w:val="00D54879"/>
    <w:rsid w:val="00D55863"/>
    <w:rsid w:val="00D57058"/>
    <w:rsid w:val="00D60204"/>
    <w:rsid w:val="00D63894"/>
    <w:rsid w:val="00D7184C"/>
    <w:rsid w:val="00D72388"/>
    <w:rsid w:val="00D73616"/>
    <w:rsid w:val="00D75A01"/>
    <w:rsid w:val="00D82224"/>
    <w:rsid w:val="00D83635"/>
    <w:rsid w:val="00DA21ED"/>
    <w:rsid w:val="00DA33B4"/>
    <w:rsid w:val="00DA525D"/>
    <w:rsid w:val="00DB0CA3"/>
    <w:rsid w:val="00DB1557"/>
    <w:rsid w:val="00DC1146"/>
    <w:rsid w:val="00DC26C9"/>
    <w:rsid w:val="00DC59BD"/>
    <w:rsid w:val="00DD138A"/>
    <w:rsid w:val="00DE3DE5"/>
    <w:rsid w:val="00DE66EA"/>
    <w:rsid w:val="00DF19A8"/>
    <w:rsid w:val="00DF4F73"/>
    <w:rsid w:val="00E04EA7"/>
    <w:rsid w:val="00E07013"/>
    <w:rsid w:val="00E133AA"/>
    <w:rsid w:val="00E17042"/>
    <w:rsid w:val="00E20710"/>
    <w:rsid w:val="00E21442"/>
    <w:rsid w:val="00E25B8F"/>
    <w:rsid w:val="00E3094D"/>
    <w:rsid w:val="00E350B7"/>
    <w:rsid w:val="00E35189"/>
    <w:rsid w:val="00E47E4F"/>
    <w:rsid w:val="00E50A8B"/>
    <w:rsid w:val="00E6098C"/>
    <w:rsid w:val="00E61F8F"/>
    <w:rsid w:val="00E6471E"/>
    <w:rsid w:val="00E64C38"/>
    <w:rsid w:val="00E740DD"/>
    <w:rsid w:val="00E74F44"/>
    <w:rsid w:val="00E75BEE"/>
    <w:rsid w:val="00E778AF"/>
    <w:rsid w:val="00E80B70"/>
    <w:rsid w:val="00E86FD3"/>
    <w:rsid w:val="00E90499"/>
    <w:rsid w:val="00E9072E"/>
    <w:rsid w:val="00E932E0"/>
    <w:rsid w:val="00E971F5"/>
    <w:rsid w:val="00EA0BAB"/>
    <w:rsid w:val="00EA5962"/>
    <w:rsid w:val="00EB0FD9"/>
    <w:rsid w:val="00EB317C"/>
    <w:rsid w:val="00EB3DA8"/>
    <w:rsid w:val="00EC69DE"/>
    <w:rsid w:val="00EC79A2"/>
    <w:rsid w:val="00ED2207"/>
    <w:rsid w:val="00ED5549"/>
    <w:rsid w:val="00ED71FB"/>
    <w:rsid w:val="00EE3658"/>
    <w:rsid w:val="00EE4416"/>
    <w:rsid w:val="00EF2D04"/>
    <w:rsid w:val="00F10B23"/>
    <w:rsid w:val="00F12F2A"/>
    <w:rsid w:val="00F3003C"/>
    <w:rsid w:val="00F400ED"/>
    <w:rsid w:val="00F4030D"/>
    <w:rsid w:val="00F409FD"/>
    <w:rsid w:val="00F43B54"/>
    <w:rsid w:val="00F521BF"/>
    <w:rsid w:val="00F6497C"/>
    <w:rsid w:val="00F71F86"/>
    <w:rsid w:val="00F7236F"/>
    <w:rsid w:val="00F728FD"/>
    <w:rsid w:val="00F75056"/>
    <w:rsid w:val="00F767F4"/>
    <w:rsid w:val="00F95A36"/>
    <w:rsid w:val="00F95E6D"/>
    <w:rsid w:val="00F964FE"/>
    <w:rsid w:val="00FA0012"/>
    <w:rsid w:val="00FA28A4"/>
    <w:rsid w:val="00FB2E84"/>
    <w:rsid w:val="00FC0B0D"/>
    <w:rsid w:val="00FC117C"/>
    <w:rsid w:val="00FC4EBD"/>
    <w:rsid w:val="00FC626C"/>
    <w:rsid w:val="00FC64D5"/>
    <w:rsid w:val="00FD0143"/>
    <w:rsid w:val="00FD5B0A"/>
    <w:rsid w:val="00FE556E"/>
    <w:rsid w:val="00FE6EA9"/>
    <w:rsid w:val="00FF2F6F"/>
    <w:rsid w:val="00FF551A"/>
    <w:rsid w:val="00FF6668"/>
    <w:rsid w:val="00FF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9C72D"/>
  <w15:docId w15:val="{CB799612-6B05-487C-9A57-48654BA3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4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SCArialHeading24White">
    <w:name w:val="MLSC Arial Heading 24 White"/>
    <w:basedOn w:val="Normal"/>
    <w:link w:val="MLSCArialHeading24WhiteChar"/>
    <w:qFormat/>
    <w:rsid w:val="0019690B"/>
    <w:pPr>
      <w:spacing w:after="0"/>
    </w:pPr>
    <w:rPr>
      <w:rFonts w:ascii="Arial" w:hAnsi="Arial" w:cs="Arial"/>
      <w:b/>
      <w:color w:val="FFFFFF"/>
      <w:sz w:val="48"/>
      <w:szCs w:val="48"/>
    </w:rPr>
  </w:style>
  <w:style w:type="character" w:customStyle="1" w:styleId="MLSCArialHeading24WhiteChar">
    <w:name w:val="MLSC Arial Heading 24 White Char"/>
    <w:basedOn w:val="DefaultParagraphFont"/>
    <w:link w:val="MLSCArialHeading24White"/>
    <w:rsid w:val="0019690B"/>
    <w:rPr>
      <w:rFonts w:ascii="Arial" w:hAnsi="Arial" w:cs="Arial"/>
      <w:b/>
      <w:color w:val="FFFFFF"/>
      <w:sz w:val="48"/>
      <w:szCs w:val="48"/>
    </w:rPr>
  </w:style>
  <w:style w:type="paragraph" w:customStyle="1" w:styleId="MSLCCambriaSubheading16White">
    <w:name w:val="MSLC Cambria Subheading 16 White"/>
    <w:basedOn w:val="Normal"/>
    <w:link w:val="MSLCCambriaSubheading16WhiteChar"/>
    <w:qFormat/>
    <w:rsid w:val="0019690B"/>
    <w:pPr>
      <w:spacing w:after="0"/>
    </w:pPr>
    <w:rPr>
      <w:rFonts w:ascii="Cambria" w:hAnsi="Cambria"/>
      <w:color w:val="FFFFFF"/>
      <w:sz w:val="32"/>
      <w:szCs w:val="32"/>
    </w:rPr>
  </w:style>
  <w:style w:type="character" w:customStyle="1" w:styleId="MSLCCambriaSubheading16WhiteChar">
    <w:name w:val="MSLC Cambria Subheading 16 White Char"/>
    <w:basedOn w:val="DefaultParagraphFont"/>
    <w:link w:val="MSLCCambriaSubheading16White"/>
    <w:rsid w:val="0019690B"/>
    <w:rPr>
      <w:rFonts w:ascii="Cambria" w:hAnsi="Cambria"/>
      <w:color w:val="FFFFFF"/>
      <w:sz w:val="32"/>
      <w:szCs w:val="32"/>
    </w:rPr>
  </w:style>
  <w:style w:type="paragraph" w:customStyle="1" w:styleId="MSLCArialHeader8Gray">
    <w:name w:val="MSLC Arial Header 8 Gray"/>
    <w:basedOn w:val="Header"/>
    <w:link w:val="MSLCArialHeader8GrayChar"/>
    <w:qFormat/>
    <w:rsid w:val="0019690B"/>
    <w:pPr>
      <w:tabs>
        <w:tab w:val="clear" w:pos="9360"/>
        <w:tab w:val="right" w:pos="8640"/>
      </w:tabs>
      <w:jc w:val="right"/>
    </w:pPr>
    <w:rPr>
      <w:rFonts w:ascii="Arial" w:hAnsi="Arial" w:cs="Arial"/>
      <w:color w:val="A6A6A6"/>
      <w:sz w:val="16"/>
      <w:szCs w:val="16"/>
    </w:rPr>
  </w:style>
  <w:style w:type="character" w:customStyle="1" w:styleId="MSLCArialHeader8GrayChar">
    <w:name w:val="MSLC Arial Header 8 Gray Char"/>
    <w:basedOn w:val="HeaderChar"/>
    <w:link w:val="MSLCArialHeader8Gray"/>
    <w:rsid w:val="0019690B"/>
    <w:rPr>
      <w:rFonts w:ascii="Arial" w:hAnsi="Arial" w:cs="Arial"/>
      <w:color w:val="A6A6A6"/>
      <w:sz w:val="16"/>
      <w:szCs w:val="16"/>
    </w:rPr>
  </w:style>
  <w:style w:type="paragraph" w:styleId="Header">
    <w:name w:val="header"/>
    <w:basedOn w:val="Normal"/>
    <w:link w:val="HeaderChar"/>
    <w:uiPriority w:val="99"/>
    <w:unhideWhenUsed/>
    <w:rsid w:val="00196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90B"/>
  </w:style>
  <w:style w:type="paragraph" w:customStyle="1" w:styleId="MSLCArialBlackHeader12Green">
    <w:name w:val="MSLC Arial Black Header 12 Green"/>
    <w:basedOn w:val="Normal"/>
    <w:link w:val="MSLCArialBlackHeader12GreenChar"/>
    <w:qFormat/>
    <w:rsid w:val="0019690B"/>
    <w:pPr>
      <w:spacing w:after="0" w:line="192" w:lineRule="auto"/>
    </w:pPr>
    <w:rPr>
      <w:rFonts w:ascii="Arial Black" w:hAnsi="Arial Black"/>
      <w:color w:val="7AC142"/>
      <w:sz w:val="24"/>
      <w:szCs w:val="24"/>
    </w:rPr>
  </w:style>
  <w:style w:type="character" w:customStyle="1" w:styleId="MSLCArialBlackHeader12GreenChar">
    <w:name w:val="MSLC Arial Black Header 12 Green Char"/>
    <w:basedOn w:val="DefaultParagraphFont"/>
    <w:link w:val="MSLCArialBlackHeader12Green"/>
    <w:rsid w:val="0019690B"/>
    <w:rPr>
      <w:rFonts w:ascii="Arial Black" w:hAnsi="Arial Black"/>
      <w:color w:val="7AC142"/>
      <w:sz w:val="24"/>
      <w:szCs w:val="24"/>
    </w:rPr>
  </w:style>
  <w:style w:type="paragraph" w:customStyle="1" w:styleId="MSLCCambriaHeading24Gray">
    <w:name w:val="MSLC Cambria Heading 24 Gray"/>
    <w:basedOn w:val="Normal"/>
    <w:link w:val="MSLCCambriaHeading24GrayChar"/>
    <w:qFormat/>
    <w:rsid w:val="0019690B"/>
    <w:pPr>
      <w:spacing w:after="0"/>
    </w:pPr>
    <w:rPr>
      <w:rFonts w:ascii="Cambria" w:hAnsi="Cambria"/>
      <w:i/>
      <w:color w:val="808080"/>
      <w:sz w:val="48"/>
      <w:szCs w:val="48"/>
    </w:rPr>
  </w:style>
  <w:style w:type="character" w:customStyle="1" w:styleId="MSLCCambriaHeading24GrayChar">
    <w:name w:val="MSLC Cambria Heading 24 Gray Char"/>
    <w:basedOn w:val="DefaultParagraphFont"/>
    <w:link w:val="MSLCCambriaHeading24Gray"/>
    <w:rsid w:val="0019690B"/>
    <w:rPr>
      <w:rFonts w:ascii="Cambria" w:hAnsi="Cambria"/>
      <w:i/>
      <w:color w:val="808080"/>
      <w:sz w:val="48"/>
      <w:szCs w:val="48"/>
    </w:rPr>
  </w:style>
  <w:style w:type="paragraph" w:customStyle="1" w:styleId="MSLCArialSubheading9BoldGreen">
    <w:name w:val="MSLC Arial Subheading 9 Bold Green"/>
    <w:basedOn w:val="Normal"/>
    <w:link w:val="MSLCArialSubheading9BoldGreenChar"/>
    <w:qFormat/>
    <w:rsid w:val="0019690B"/>
    <w:rPr>
      <w:rFonts w:ascii="Arial" w:hAnsi="Arial" w:cs="Arial"/>
      <w:b/>
      <w:color w:val="7AC142"/>
      <w:sz w:val="18"/>
      <w:szCs w:val="18"/>
    </w:rPr>
  </w:style>
  <w:style w:type="character" w:customStyle="1" w:styleId="MSLCArialSubheading9BoldGreenChar">
    <w:name w:val="MSLC Arial Subheading 9 Bold Green Char"/>
    <w:basedOn w:val="DefaultParagraphFont"/>
    <w:link w:val="MSLCArialSubheading9BoldGreen"/>
    <w:rsid w:val="0019690B"/>
    <w:rPr>
      <w:rFonts w:ascii="Arial" w:hAnsi="Arial" w:cs="Arial"/>
      <w:b/>
      <w:color w:val="7AC142"/>
      <w:sz w:val="18"/>
      <w:szCs w:val="18"/>
    </w:rPr>
  </w:style>
  <w:style w:type="paragraph" w:customStyle="1" w:styleId="1TitlePageHeadingArial24White">
    <w:name w:val="1Title Page: Heading Arial 24 White"/>
    <w:basedOn w:val="Normal"/>
    <w:link w:val="1TitlePageHeadingArial24WhiteChar"/>
    <w:qFormat/>
    <w:rsid w:val="0044167A"/>
    <w:pPr>
      <w:spacing w:after="0"/>
    </w:pPr>
    <w:rPr>
      <w:rFonts w:ascii="Arial" w:hAnsi="Arial" w:cs="Arial"/>
      <w:b/>
      <w:color w:val="FFFFFF"/>
      <w:sz w:val="48"/>
      <w:szCs w:val="48"/>
    </w:rPr>
  </w:style>
  <w:style w:type="character" w:customStyle="1" w:styleId="1TitlePageHeadingArial24WhiteChar">
    <w:name w:val="1Title Page: Heading Arial 24 White Char"/>
    <w:basedOn w:val="DefaultParagraphFont"/>
    <w:link w:val="1TitlePageHeadingArial24White"/>
    <w:rsid w:val="0044167A"/>
    <w:rPr>
      <w:rFonts w:ascii="Arial" w:hAnsi="Arial" w:cs="Arial"/>
      <w:b/>
      <w:color w:val="FFFFFF"/>
      <w:sz w:val="48"/>
      <w:szCs w:val="48"/>
    </w:rPr>
  </w:style>
  <w:style w:type="paragraph" w:styleId="TOC1">
    <w:name w:val="toc 1"/>
    <w:aliases w:val="10 TOC: Green-Bullet Ariel 10 Bold Black"/>
    <w:basedOn w:val="Normal"/>
    <w:next w:val="Normal"/>
    <w:autoRedefine/>
    <w:uiPriority w:val="39"/>
    <w:unhideWhenUsed/>
    <w:qFormat/>
    <w:rsid w:val="004756D0"/>
    <w:pPr>
      <w:numPr>
        <w:numId w:val="1"/>
      </w:numPr>
      <w:tabs>
        <w:tab w:val="right" w:leader="dot" w:pos="8630"/>
      </w:tabs>
      <w:spacing w:after="100"/>
    </w:pPr>
    <w:rPr>
      <w:rFonts w:ascii="Arial" w:hAnsi="Arial"/>
      <w:sz w:val="20"/>
    </w:rPr>
  </w:style>
  <w:style w:type="paragraph" w:styleId="TOC2">
    <w:name w:val="toc 2"/>
    <w:aliases w:val="10 TOC: Black-Bullet Arial 10 Black"/>
    <w:basedOn w:val="Normal"/>
    <w:next w:val="Normal"/>
    <w:autoRedefine/>
    <w:uiPriority w:val="39"/>
    <w:unhideWhenUsed/>
    <w:qFormat/>
    <w:rsid w:val="004756D0"/>
    <w:pPr>
      <w:numPr>
        <w:numId w:val="2"/>
      </w:numPr>
      <w:tabs>
        <w:tab w:val="right" w:leader="dot" w:pos="8630"/>
      </w:tabs>
      <w:spacing w:after="100"/>
    </w:pPr>
    <w:rPr>
      <w:rFonts w:ascii="Arial" w:eastAsia="Times New Roman" w:hAnsi="Arial"/>
      <w:sz w:val="20"/>
      <w:lang w:eastAsia="ja-JP"/>
    </w:rPr>
  </w:style>
  <w:style w:type="paragraph" w:styleId="BalloonText">
    <w:name w:val="Balloon Text"/>
    <w:basedOn w:val="Normal"/>
    <w:link w:val="BalloonTextChar"/>
    <w:uiPriority w:val="99"/>
    <w:semiHidden/>
    <w:unhideWhenUsed/>
    <w:rsid w:val="00FD0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143"/>
    <w:rPr>
      <w:rFonts w:ascii="Tahoma" w:hAnsi="Tahoma" w:cs="Tahoma"/>
      <w:sz w:val="16"/>
      <w:szCs w:val="16"/>
    </w:rPr>
  </w:style>
  <w:style w:type="paragraph" w:styleId="Footer">
    <w:name w:val="footer"/>
    <w:basedOn w:val="Normal"/>
    <w:link w:val="FooterChar"/>
    <w:uiPriority w:val="99"/>
    <w:unhideWhenUsed/>
    <w:rsid w:val="00FD0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143"/>
  </w:style>
  <w:style w:type="paragraph" w:customStyle="1" w:styleId="BodyCambria10Black">
    <w:name w:val="Body: Cambria 10 Black"/>
    <w:basedOn w:val="Normal"/>
    <w:link w:val="BodyCambria10BlackChar"/>
    <w:qFormat/>
    <w:rsid w:val="009C1739"/>
    <w:rPr>
      <w:rFonts w:ascii="Cambria" w:hAnsi="Cambria" w:cs="Arial"/>
      <w:sz w:val="20"/>
      <w:szCs w:val="20"/>
    </w:rPr>
  </w:style>
  <w:style w:type="character" w:customStyle="1" w:styleId="BodyCambria10BlackChar">
    <w:name w:val="Body: Cambria 10 Black Char"/>
    <w:basedOn w:val="DefaultParagraphFont"/>
    <w:link w:val="BodyCambria10Black"/>
    <w:rsid w:val="009C1739"/>
    <w:rPr>
      <w:rFonts w:ascii="Cambria" w:hAnsi="Cambria" w:cs="Arial"/>
      <w:sz w:val="20"/>
      <w:szCs w:val="20"/>
    </w:rPr>
  </w:style>
  <w:style w:type="paragraph" w:customStyle="1" w:styleId="Default">
    <w:name w:val="Default"/>
    <w:rsid w:val="007C21B2"/>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5778B3"/>
    <w:rPr>
      <w:color w:val="0000FF" w:themeColor="hyperlink"/>
      <w:u w:val="single"/>
    </w:rPr>
  </w:style>
  <w:style w:type="character" w:styleId="CommentReference">
    <w:name w:val="annotation reference"/>
    <w:basedOn w:val="DefaultParagraphFont"/>
    <w:uiPriority w:val="99"/>
    <w:semiHidden/>
    <w:unhideWhenUsed/>
    <w:rsid w:val="00F521BF"/>
    <w:rPr>
      <w:sz w:val="16"/>
      <w:szCs w:val="16"/>
    </w:rPr>
  </w:style>
  <w:style w:type="paragraph" w:styleId="CommentText">
    <w:name w:val="annotation text"/>
    <w:basedOn w:val="Normal"/>
    <w:link w:val="CommentTextChar"/>
    <w:uiPriority w:val="99"/>
    <w:semiHidden/>
    <w:unhideWhenUsed/>
    <w:rsid w:val="00F521BF"/>
    <w:pPr>
      <w:spacing w:line="240" w:lineRule="auto"/>
    </w:pPr>
    <w:rPr>
      <w:sz w:val="20"/>
      <w:szCs w:val="20"/>
    </w:rPr>
  </w:style>
  <w:style w:type="character" w:customStyle="1" w:styleId="CommentTextChar">
    <w:name w:val="Comment Text Char"/>
    <w:basedOn w:val="DefaultParagraphFont"/>
    <w:link w:val="CommentText"/>
    <w:uiPriority w:val="99"/>
    <w:semiHidden/>
    <w:rsid w:val="00F521BF"/>
  </w:style>
  <w:style w:type="paragraph" w:styleId="CommentSubject">
    <w:name w:val="annotation subject"/>
    <w:basedOn w:val="CommentText"/>
    <w:next w:val="CommentText"/>
    <w:link w:val="CommentSubjectChar"/>
    <w:uiPriority w:val="99"/>
    <w:semiHidden/>
    <w:unhideWhenUsed/>
    <w:rsid w:val="00F521BF"/>
    <w:rPr>
      <w:b/>
      <w:bCs/>
    </w:rPr>
  </w:style>
  <w:style w:type="character" w:customStyle="1" w:styleId="CommentSubjectChar">
    <w:name w:val="Comment Subject Char"/>
    <w:basedOn w:val="CommentTextChar"/>
    <w:link w:val="CommentSubject"/>
    <w:uiPriority w:val="99"/>
    <w:semiHidden/>
    <w:rsid w:val="00F521BF"/>
    <w:rPr>
      <w:b/>
      <w:bCs/>
    </w:rPr>
  </w:style>
  <w:style w:type="paragraph" w:styleId="ListParagraph">
    <w:name w:val="List Paragraph"/>
    <w:basedOn w:val="Normal"/>
    <w:uiPriority w:val="34"/>
    <w:qFormat/>
    <w:rsid w:val="005B55A0"/>
    <w:pPr>
      <w:spacing w:after="160" w:line="259" w:lineRule="auto"/>
      <w:ind w:left="720"/>
      <w:contextualSpacing/>
    </w:pPr>
    <w:rPr>
      <w:rFonts w:asciiTheme="minorHAnsi" w:eastAsiaTheme="minorHAnsi" w:hAnsiTheme="minorHAnsi" w:cstheme="minorBidi"/>
    </w:rPr>
  </w:style>
  <w:style w:type="paragraph" w:styleId="EndnoteText">
    <w:name w:val="endnote text"/>
    <w:basedOn w:val="Normal"/>
    <w:link w:val="EndnoteTextChar"/>
    <w:uiPriority w:val="99"/>
    <w:semiHidden/>
    <w:unhideWhenUsed/>
    <w:rsid w:val="00CE619F"/>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CE619F"/>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CE619F"/>
    <w:rPr>
      <w:vertAlign w:val="superscript"/>
    </w:rPr>
  </w:style>
  <w:style w:type="table" w:styleId="TableGrid">
    <w:name w:val="Table Grid"/>
    <w:basedOn w:val="TableNormal"/>
    <w:uiPriority w:val="39"/>
    <w:rsid w:val="008F4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107E4"/>
    <w:rPr>
      <w:color w:val="800080" w:themeColor="followedHyperlink"/>
      <w:u w:val="single"/>
    </w:rPr>
  </w:style>
  <w:style w:type="character" w:customStyle="1" w:styleId="A7">
    <w:name w:val="A7"/>
    <w:uiPriority w:val="99"/>
    <w:rsid w:val="000C12E2"/>
    <w:rPr>
      <w:rFonts w:cs="Gotham Book"/>
      <w:color w:val="4C4C4E"/>
      <w:sz w:val="19"/>
      <w:szCs w:val="19"/>
    </w:rPr>
  </w:style>
  <w:style w:type="table" w:customStyle="1" w:styleId="TableGrid1">
    <w:name w:val="Table Grid1"/>
    <w:basedOn w:val="TableNormal"/>
    <w:next w:val="TableGrid"/>
    <w:uiPriority w:val="59"/>
    <w:rsid w:val="00C06C5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723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2337"/>
  </w:style>
  <w:style w:type="character" w:styleId="FootnoteReference">
    <w:name w:val="footnote reference"/>
    <w:basedOn w:val="DefaultParagraphFont"/>
    <w:uiPriority w:val="99"/>
    <w:semiHidden/>
    <w:unhideWhenUsed/>
    <w:rsid w:val="006723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825450">
      <w:bodyDiv w:val="1"/>
      <w:marLeft w:val="0"/>
      <w:marRight w:val="0"/>
      <w:marTop w:val="0"/>
      <w:marBottom w:val="0"/>
      <w:divBdr>
        <w:top w:val="none" w:sz="0" w:space="0" w:color="auto"/>
        <w:left w:val="none" w:sz="0" w:space="0" w:color="auto"/>
        <w:bottom w:val="none" w:sz="0" w:space="0" w:color="auto"/>
        <w:right w:val="none" w:sz="0" w:space="0" w:color="auto"/>
      </w:divBdr>
      <w:divsChild>
        <w:div w:id="1951934480">
          <w:marLeft w:val="1354"/>
          <w:marRight w:val="0"/>
          <w:marTop w:val="480"/>
          <w:marBottom w:val="0"/>
          <w:divBdr>
            <w:top w:val="none" w:sz="0" w:space="0" w:color="auto"/>
            <w:left w:val="none" w:sz="0" w:space="0" w:color="auto"/>
            <w:bottom w:val="none" w:sz="0" w:space="0" w:color="auto"/>
            <w:right w:val="none" w:sz="0" w:space="0" w:color="auto"/>
          </w:divBdr>
        </w:div>
        <w:div w:id="1407534532">
          <w:marLeft w:val="2074"/>
          <w:marRight w:val="0"/>
          <w:marTop w:val="480"/>
          <w:marBottom w:val="0"/>
          <w:divBdr>
            <w:top w:val="none" w:sz="0" w:space="0" w:color="auto"/>
            <w:left w:val="none" w:sz="0" w:space="0" w:color="auto"/>
            <w:bottom w:val="none" w:sz="0" w:space="0" w:color="auto"/>
            <w:right w:val="none" w:sz="0" w:space="0" w:color="auto"/>
          </w:divBdr>
        </w:div>
        <w:div w:id="474218638">
          <w:marLeft w:val="2074"/>
          <w:marRight w:val="0"/>
          <w:marTop w:val="480"/>
          <w:marBottom w:val="0"/>
          <w:divBdr>
            <w:top w:val="none" w:sz="0" w:space="0" w:color="auto"/>
            <w:left w:val="none" w:sz="0" w:space="0" w:color="auto"/>
            <w:bottom w:val="none" w:sz="0" w:space="0" w:color="auto"/>
            <w:right w:val="none" w:sz="0" w:space="0" w:color="auto"/>
          </w:divBdr>
        </w:div>
        <w:div w:id="1948152193">
          <w:marLeft w:val="2074"/>
          <w:marRight w:val="0"/>
          <w:marTop w:val="480"/>
          <w:marBottom w:val="0"/>
          <w:divBdr>
            <w:top w:val="none" w:sz="0" w:space="0" w:color="auto"/>
            <w:left w:val="none" w:sz="0" w:space="0" w:color="auto"/>
            <w:bottom w:val="none" w:sz="0" w:space="0" w:color="auto"/>
            <w:right w:val="none" w:sz="0" w:space="0" w:color="auto"/>
          </w:divBdr>
        </w:div>
      </w:divsChild>
    </w:div>
    <w:div w:id="365177682">
      <w:bodyDiv w:val="1"/>
      <w:marLeft w:val="0"/>
      <w:marRight w:val="0"/>
      <w:marTop w:val="0"/>
      <w:marBottom w:val="0"/>
      <w:divBdr>
        <w:top w:val="none" w:sz="0" w:space="0" w:color="auto"/>
        <w:left w:val="none" w:sz="0" w:space="0" w:color="auto"/>
        <w:bottom w:val="none" w:sz="0" w:space="0" w:color="auto"/>
        <w:right w:val="none" w:sz="0" w:space="0" w:color="auto"/>
      </w:divBdr>
      <w:divsChild>
        <w:div w:id="1914507275">
          <w:marLeft w:val="331"/>
          <w:marRight w:val="0"/>
          <w:marTop w:val="90"/>
          <w:marBottom w:val="90"/>
          <w:divBdr>
            <w:top w:val="none" w:sz="0" w:space="0" w:color="auto"/>
            <w:left w:val="none" w:sz="0" w:space="0" w:color="auto"/>
            <w:bottom w:val="none" w:sz="0" w:space="0" w:color="auto"/>
            <w:right w:val="none" w:sz="0" w:space="0" w:color="auto"/>
          </w:divBdr>
        </w:div>
        <w:div w:id="1908176650">
          <w:marLeft w:val="331"/>
          <w:marRight w:val="0"/>
          <w:marTop w:val="90"/>
          <w:marBottom w:val="90"/>
          <w:divBdr>
            <w:top w:val="none" w:sz="0" w:space="0" w:color="auto"/>
            <w:left w:val="none" w:sz="0" w:space="0" w:color="auto"/>
            <w:bottom w:val="none" w:sz="0" w:space="0" w:color="auto"/>
            <w:right w:val="none" w:sz="0" w:space="0" w:color="auto"/>
          </w:divBdr>
        </w:div>
        <w:div w:id="2085374995">
          <w:marLeft w:val="331"/>
          <w:marRight w:val="0"/>
          <w:marTop w:val="90"/>
          <w:marBottom w:val="90"/>
          <w:divBdr>
            <w:top w:val="none" w:sz="0" w:space="0" w:color="auto"/>
            <w:left w:val="none" w:sz="0" w:space="0" w:color="auto"/>
            <w:bottom w:val="none" w:sz="0" w:space="0" w:color="auto"/>
            <w:right w:val="none" w:sz="0" w:space="0" w:color="auto"/>
          </w:divBdr>
        </w:div>
        <w:div w:id="1122647675">
          <w:marLeft w:val="331"/>
          <w:marRight w:val="0"/>
          <w:marTop w:val="90"/>
          <w:marBottom w:val="90"/>
          <w:divBdr>
            <w:top w:val="none" w:sz="0" w:space="0" w:color="auto"/>
            <w:left w:val="none" w:sz="0" w:space="0" w:color="auto"/>
            <w:bottom w:val="none" w:sz="0" w:space="0" w:color="auto"/>
            <w:right w:val="none" w:sz="0" w:space="0" w:color="auto"/>
          </w:divBdr>
        </w:div>
      </w:divsChild>
    </w:div>
    <w:div w:id="413939567">
      <w:bodyDiv w:val="1"/>
      <w:marLeft w:val="0"/>
      <w:marRight w:val="0"/>
      <w:marTop w:val="0"/>
      <w:marBottom w:val="0"/>
      <w:divBdr>
        <w:top w:val="none" w:sz="0" w:space="0" w:color="auto"/>
        <w:left w:val="none" w:sz="0" w:space="0" w:color="auto"/>
        <w:bottom w:val="none" w:sz="0" w:space="0" w:color="auto"/>
        <w:right w:val="none" w:sz="0" w:space="0" w:color="auto"/>
      </w:divBdr>
      <w:divsChild>
        <w:div w:id="401219781">
          <w:marLeft w:val="274"/>
          <w:marRight w:val="0"/>
          <w:marTop w:val="0"/>
          <w:marBottom w:val="90"/>
          <w:divBdr>
            <w:top w:val="none" w:sz="0" w:space="0" w:color="auto"/>
            <w:left w:val="none" w:sz="0" w:space="0" w:color="auto"/>
            <w:bottom w:val="none" w:sz="0" w:space="0" w:color="auto"/>
            <w:right w:val="none" w:sz="0" w:space="0" w:color="auto"/>
          </w:divBdr>
        </w:div>
        <w:div w:id="32849766">
          <w:marLeft w:val="274"/>
          <w:marRight w:val="0"/>
          <w:marTop w:val="0"/>
          <w:marBottom w:val="90"/>
          <w:divBdr>
            <w:top w:val="none" w:sz="0" w:space="0" w:color="auto"/>
            <w:left w:val="none" w:sz="0" w:space="0" w:color="auto"/>
            <w:bottom w:val="none" w:sz="0" w:space="0" w:color="auto"/>
            <w:right w:val="none" w:sz="0" w:space="0" w:color="auto"/>
          </w:divBdr>
        </w:div>
        <w:div w:id="2085687571">
          <w:marLeft w:val="274"/>
          <w:marRight w:val="0"/>
          <w:marTop w:val="0"/>
          <w:marBottom w:val="90"/>
          <w:divBdr>
            <w:top w:val="none" w:sz="0" w:space="0" w:color="auto"/>
            <w:left w:val="none" w:sz="0" w:space="0" w:color="auto"/>
            <w:bottom w:val="none" w:sz="0" w:space="0" w:color="auto"/>
            <w:right w:val="none" w:sz="0" w:space="0" w:color="auto"/>
          </w:divBdr>
        </w:div>
        <w:div w:id="733235087">
          <w:marLeft w:val="274"/>
          <w:marRight w:val="0"/>
          <w:marTop w:val="0"/>
          <w:marBottom w:val="90"/>
          <w:divBdr>
            <w:top w:val="none" w:sz="0" w:space="0" w:color="auto"/>
            <w:left w:val="none" w:sz="0" w:space="0" w:color="auto"/>
            <w:bottom w:val="none" w:sz="0" w:space="0" w:color="auto"/>
            <w:right w:val="none" w:sz="0" w:space="0" w:color="auto"/>
          </w:divBdr>
        </w:div>
        <w:div w:id="1183201043">
          <w:marLeft w:val="274"/>
          <w:marRight w:val="0"/>
          <w:marTop w:val="0"/>
          <w:marBottom w:val="90"/>
          <w:divBdr>
            <w:top w:val="none" w:sz="0" w:space="0" w:color="auto"/>
            <w:left w:val="none" w:sz="0" w:space="0" w:color="auto"/>
            <w:bottom w:val="none" w:sz="0" w:space="0" w:color="auto"/>
            <w:right w:val="none" w:sz="0" w:space="0" w:color="auto"/>
          </w:divBdr>
        </w:div>
        <w:div w:id="238248393">
          <w:marLeft w:val="331"/>
          <w:marRight w:val="0"/>
          <w:marTop w:val="45"/>
          <w:marBottom w:val="90"/>
          <w:divBdr>
            <w:top w:val="none" w:sz="0" w:space="0" w:color="auto"/>
            <w:left w:val="none" w:sz="0" w:space="0" w:color="auto"/>
            <w:bottom w:val="none" w:sz="0" w:space="0" w:color="auto"/>
            <w:right w:val="none" w:sz="0" w:space="0" w:color="auto"/>
          </w:divBdr>
        </w:div>
        <w:div w:id="80102478">
          <w:marLeft w:val="331"/>
          <w:marRight w:val="0"/>
          <w:marTop w:val="45"/>
          <w:marBottom w:val="90"/>
          <w:divBdr>
            <w:top w:val="none" w:sz="0" w:space="0" w:color="auto"/>
            <w:left w:val="none" w:sz="0" w:space="0" w:color="auto"/>
            <w:bottom w:val="none" w:sz="0" w:space="0" w:color="auto"/>
            <w:right w:val="none" w:sz="0" w:space="0" w:color="auto"/>
          </w:divBdr>
        </w:div>
        <w:div w:id="1924754333">
          <w:marLeft w:val="331"/>
          <w:marRight w:val="0"/>
          <w:marTop w:val="45"/>
          <w:marBottom w:val="90"/>
          <w:divBdr>
            <w:top w:val="none" w:sz="0" w:space="0" w:color="auto"/>
            <w:left w:val="none" w:sz="0" w:space="0" w:color="auto"/>
            <w:bottom w:val="none" w:sz="0" w:space="0" w:color="auto"/>
            <w:right w:val="none" w:sz="0" w:space="0" w:color="auto"/>
          </w:divBdr>
        </w:div>
        <w:div w:id="1270626751">
          <w:marLeft w:val="331"/>
          <w:marRight w:val="0"/>
          <w:marTop w:val="45"/>
          <w:marBottom w:val="90"/>
          <w:divBdr>
            <w:top w:val="none" w:sz="0" w:space="0" w:color="auto"/>
            <w:left w:val="none" w:sz="0" w:space="0" w:color="auto"/>
            <w:bottom w:val="none" w:sz="0" w:space="0" w:color="auto"/>
            <w:right w:val="none" w:sz="0" w:space="0" w:color="auto"/>
          </w:divBdr>
        </w:div>
        <w:div w:id="203837766">
          <w:marLeft w:val="274"/>
          <w:marRight w:val="0"/>
          <w:marTop w:val="90"/>
          <w:marBottom w:val="90"/>
          <w:divBdr>
            <w:top w:val="none" w:sz="0" w:space="0" w:color="auto"/>
            <w:left w:val="none" w:sz="0" w:space="0" w:color="auto"/>
            <w:bottom w:val="none" w:sz="0" w:space="0" w:color="auto"/>
            <w:right w:val="none" w:sz="0" w:space="0" w:color="auto"/>
          </w:divBdr>
        </w:div>
        <w:div w:id="1264070324">
          <w:marLeft w:val="274"/>
          <w:marRight w:val="0"/>
          <w:marTop w:val="90"/>
          <w:marBottom w:val="90"/>
          <w:divBdr>
            <w:top w:val="none" w:sz="0" w:space="0" w:color="auto"/>
            <w:left w:val="none" w:sz="0" w:space="0" w:color="auto"/>
            <w:bottom w:val="none" w:sz="0" w:space="0" w:color="auto"/>
            <w:right w:val="none" w:sz="0" w:space="0" w:color="auto"/>
          </w:divBdr>
        </w:div>
        <w:div w:id="546259403">
          <w:marLeft w:val="274"/>
          <w:marRight w:val="0"/>
          <w:marTop w:val="90"/>
          <w:marBottom w:val="90"/>
          <w:divBdr>
            <w:top w:val="none" w:sz="0" w:space="0" w:color="auto"/>
            <w:left w:val="none" w:sz="0" w:space="0" w:color="auto"/>
            <w:bottom w:val="none" w:sz="0" w:space="0" w:color="auto"/>
            <w:right w:val="none" w:sz="0" w:space="0" w:color="auto"/>
          </w:divBdr>
        </w:div>
        <w:div w:id="2038577520">
          <w:marLeft w:val="274"/>
          <w:marRight w:val="0"/>
          <w:marTop w:val="90"/>
          <w:marBottom w:val="90"/>
          <w:divBdr>
            <w:top w:val="none" w:sz="0" w:space="0" w:color="auto"/>
            <w:left w:val="none" w:sz="0" w:space="0" w:color="auto"/>
            <w:bottom w:val="none" w:sz="0" w:space="0" w:color="auto"/>
            <w:right w:val="none" w:sz="0" w:space="0" w:color="auto"/>
          </w:divBdr>
        </w:div>
      </w:divsChild>
    </w:div>
    <w:div w:id="468547909">
      <w:bodyDiv w:val="1"/>
      <w:marLeft w:val="0"/>
      <w:marRight w:val="0"/>
      <w:marTop w:val="0"/>
      <w:marBottom w:val="0"/>
      <w:divBdr>
        <w:top w:val="none" w:sz="0" w:space="0" w:color="auto"/>
        <w:left w:val="none" w:sz="0" w:space="0" w:color="auto"/>
        <w:bottom w:val="none" w:sz="0" w:space="0" w:color="auto"/>
        <w:right w:val="none" w:sz="0" w:space="0" w:color="auto"/>
      </w:divBdr>
      <w:divsChild>
        <w:div w:id="125436704">
          <w:marLeft w:val="331"/>
          <w:marRight w:val="0"/>
          <w:marTop w:val="90"/>
          <w:marBottom w:val="90"/>
          <w:divBdr>
            <w:top w:val="none" w:sz="0" w:space="0" w:color="auto"/>
            <w:left w:val="none" w:sz="0" w:space="0" w:color="auto"/>
            <w:bottom w:val="none" w:sz="0" w:space="0" w:color="auto"/>
            <w:right w:val="none" w:sz="0" w:space="0" w:color="auto"/>
          </w:divBdr>
        </w:div>
        <w:div w:id="461656183">
          <w:marLeft w:val="331"/>
          <w:marRight w:val="0"/>
          <w:marTop w:val="90"/>
          <w:marBottom w:val="90"/>
          <w:divBdr>
            <w:top w:val="none" w:sz="0" w:space="0" w:color="auto"/>
            <w:left w:val="none" w:sz="0" w:space="0" w:color="auto"/>
            <w:bottom w:val="none" w:sz="0" w:space="0" w:color="auto"/>
            <w:right w:val="none" w:sz="0" w:space="0" w:color="auto"/>
          </w:divBdr>
        </w:div>
        <w:div w:id="1584492396">
          <w:marLeft w:val="331"/>
          <w:marRight w:val="0"/>
          <w:marTop w:val="90"/>
          <w:marBottom w:val="90"/>
          <w:divBdr>
            <w:top w:val="none" w:sz="0" w:space="0" w:color="auto"/>
            <w:left w:val="none" w:sz="0" w:space="0" w:color="auto"/>
            <w:bottom w:val="none" w:sz="0" w:space="0" w:color="auto"/>
            <w:right w:val="none" w:sz="0" w:space="0" w:color="auto"/>
          </w:divBdr>
        </w:div>
      </w:divsChild>
    </w:div>
    <w:div w:id="498154931">
      <w:bodyDiv w:val="1"/>
      <w:marLeft w:val="0"/>
      <w:marRight w:val="0"/>
      <w:marTop w:val="0"/>
      <w:marBottom w:val="0"/>
      <w:divBdr>
        <w:top w:val="none" w:sz="0" w:space="0" w:color="auto"/>
        <w:left w:val="none" w:sz="0" w:space="0" w:color="auto"/>
        <w:bottom w:val="none" w:sz="0" w:space="0" w:color="auto"/>
        <w:right w:val="none" w:sz="0" w:space="0" w:color="auto"/>
      </w:divBdr>
      <w:divsChild>
        <w:div w:id="1457868489">
          <w:marLeft w:val="331"/>
          <w:marRight w:val="0"/>
          <w:marTop w:val="90"/>
          <w:marBottom w:val="90"/>
          <w:divBdr>
            <w:top w:val="none" w:sz="0" w:space="0" w:color="auto"/>
            <w:left w:val="none" w:sz="0" w:space="0" w:color="auto"/>
            <w:bottom w:val="none" w:sz="0" w:space="0" w:color="auto"/>
            <w:right w:val="none" w:sz="0" w:space="0" w:color="auto"/>
          </w:divBdr>
        </w:div>
        <w:div w:id="648168329">
          <w:marLeft w:val="331"/>
          <w:marRight w:val="0"/>
          <w:marTop w:val="90"/>
          <w:marBottom w:val="90"/>
          <w:divBdr>
            <w:top w:val="none" w:sz="0" w:space="0" w:color="auto"/>
            <w:left w:val="none" w:sz="0" w:space="0" w:color="auto"/>
            <w:bottom w:val="none" w:sz="0" w:space="0" w:color="auto"/>
            <w:right w:val="none" w:sz="0" w:space="0" w:color="auto"/>
          </w:divBdr>
        </w:div>
        <w:div w:id="1143736788">
          <w:marLeft w:val="331"/>
          <w:marRight w:val="0"/>
          <w:marTop w:val="90"/>
          <w:marBottom w:val="90"/>
          <w:divBdr>
            <w:top w:val="none" w:sz="0" w:space="0" w:color="auto"/>
            <w:left w:val="none" w:sz="0" w:space="0" w:color="auto"/>
            <w:bottom w:val="none" w:sz="0" w:space="0" w:color="auto"/>
            <w:right w:val="none" w:sz="0" w:space="0" w:color="auto"/>
          </w:divBdr>
        </w:div>
      </w:divsChild>
    </w:div>
    <w:div w:id="1883204531">
      <w:bodyDiv w:val="1"/>
      <w:marLeft w:val="0"/>
      <w:marRight w:val="0"/>
      <w:marTop w:val="0"/>
      <w:marBottom w:val="0"/>
      <w:divBdr>
        <w:top w:val="none" w:sz="0" w:space="0" w:color="auto"/>
        <w:left w:val="none" w:sz="0" w:space="0" w:color="auto"/>
        <w:bottom w:val="none" w:sz="0" w:space="0" w:color="auto"/>
        <w:right w:val="none" w:sz="0" w:space="0" w:color="auto"/>
      </w:divBdr>
      <w:divsChild>
        <w:div w:id="2099404955">
          <w:marLeft w:val="0"/>
          <w:marRight w:val="0"/>
          <w:marTop w:val="0"/>
          <w:marBottom w:val="0"/>
          <w:divBdr>
            <w:top w:val="none" w:sz="0" w:space="0" w:color="auto"/>
            <w:left w:val="none" w:sz="0" w:space="0" w:color="auto"/>
            <w:bottom w:val="none" w:sz="0" w:space="0" w:color="auto"/>
            <w:right w:val="none" w:sz="0" w:space="0" w:color="auto"/>
          </w:divBdr>
        </w:div>
        <w:div w:id="953099897">
          <w:marLeft w:val="0"/>
          <w:marRight w:val="0"/>
          <w:marTop w:val="0"/>
          <w:marBottom w:val="0"/>
          <w:divBdr>
            <w:top w:val="none" w:sz="0" w:space="0" w:color="auto"/>
            <w:left w:val="none" w:sz="0" w:space="0" w:color="auto"/>
            <w:bottom w:val="none" w:sz="0" w:space="0" w:color="auto"/>
            <w:right w:val="none" w:sz="0" w:space="0" w:color="auto"/>
          </w:divBdr>
        </w:div>
        <w:div w:id="171385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qsource.org/wp-content/uploads/2017/06/2017_TennCare_June_Presentation_Population_Health_Medicaid_Value-Based_Care.pdf" TargetMode="External"/><Relationship Id="rId18" Type="http://schemas.openxmlformats.org/officeDocument/2006/relationships/hyperlink" Target="http://www.healthchoices.pa.gov/providers/resources/valuebasedpurchasing/index.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hscrc.state.md.us/Pages/budgets.aspx" TargetMode="External"/><Relationship Id="rId7" Type="http://schemas.openxmlformats.org/officeDocument/2006/relationships/endnotes" Target="endnotes.xml"/><Relationship Id="rId12" Type="http://schemas.openxmlformats.org/officeDocument/2006/relationships/hyperlink" Target="http://www.hsd.state.nm.us/uploads/files/Value-Based%20Purchasing%20Issue%20Brief%20-%20Jan%2013%202017.pdf" TargetMode="External"/><Relationship Id="rId17" Type="http://schemas.openxmlformats.org/officeDocument/2006/relationships/hyperlink" Target="https://www.azahcccs.gov/AHCCCS/Initiatives/PaymentModernization/valuebasedpurchasing.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nnovation.cms.gov/initiatives/Health-Care-Payment-Learning-and-Action-Network/" TargetMode="External"/><Relationship Id="rId20" Type="http://schemas.openxmlformats.org/officeDocument/2006/relationships/hyperlink" Target="https://www.oregon.gov/OHA/HPA/ANALYTICS/Pages/CCO-Baseline-Data.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h.georgia.gov/sites/dch.georgia.gov/files/related_files/site_page/Georgia%20Families%20Contract%20with%20RFP.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medicaid.gov/state-resource-center/innovation-accelerator-program/index.html" TargetMode="External"/><Relationship Id="rId23" Type="http://schemas.openxmlformats.org/officeDocument/2006/relationships/hyperlink" Target="https://hcp-lan.org/apm-roadmap/" TargetMode="External"/><Relationship Id="rId10" Type="http://schemas.openxmlformats.org/officeDocument/2006/relationships/hyperlink" Target="https://dch.georgia.gov/sites/dch.georgia.gov/files/related_files/site_page/Georgia%20Families%20360%20contract.pdf" TargetMode="External"/><Relationship Id="rId19" Type="http://schemas.openxmlformats.org/officeDocument/2006/relationships/hyperlink" Target="https://www.kancare.ks.gov/docs/default-source/about-kancare/kancare-renewal-forums/kancare-renewal/kancare-2-0-waiver-renewal-application---for-public-comment.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nnovation.cms.gov/initiatives/Comprehensive-Primary-Care-Plus" TargetMode="External"/><Relationship Id="rId22" Type="http://schemas.openxmlformats.org/officeDocument/2006/relationships/hyperlink" Target="https://www.dhhs.nh.gov/section-1115-waiver/index.htm" TargetMode="Externa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hcp-lan.org/apm-roadmap/" TargetMode="External"/><Relationship Id="rId2" Type="http://schemas.openxmlformats.org/officeDocument/2006/relationships/hyperlink" Target="https://www.kff.org/disparities-policy/fact-sheet/proposed-changes-to-public-charge-policies-for-immigrants-implications-for-health-coverage/" TargetMode="External"/><Relationship Id="rId1" Type="http://schemas.openxmlformats.org/officeDocument/2006/relationships/hyperlink" Target="https://innovation.cms.gov/initiatives/Comprehensive-Primary-Care-Plu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healthmanagement.com/wp-content/uploads/Report-States-Focus-on-Quality-and-Outcomes-Amid-Waiver-Changes-Results-from-a-50-State-Medicaid-Budget-Survey-for-State-Fiscal-Years-2018-and-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yatt.MSLC\AppData\Local\Microsoft\Windows\Temporary%20Internet%20Files\Content.IE5\XNTVOTZS\MSLC%20Letterhead%20Template%20G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2DCB9-5022-4E20-A77D-4B52F2A6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MSLC Letterhead Template GA</Template>
  <TotalTime>0</TotalTime>
  <Pages>16</Pages>
  <Words>5201</Words>
  <Characters>29651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 &amp; S</Company>
  <LinksUpToDate>false</LinksUpToDate>
  <CharactersWithSpaces>34783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Wyatt</dc:creator>
  <cp:lastModifiedBy>Tyler Downey</cp:lastModifiedBy>
  <cp:revision>2</cp:revision>
  <cp:lastPrinted>2018-02-23T20:23:00Z</cp:lastPrinted>
  <dcterms:created xsi:type="dcterms:W3CDTF">2019-05-10T16:57:00Z</dcterms:created>
  <dcterms:modified xsi:type="dcterms:W3CDTF">2019-05-10T16:57:00Z</dcterms:modified>
</cp:coreProperties>
</file>